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D1" w:rsidRPr="00570C30" w:rsidRDefault="00AD37D1" w:rsidP="00AD37D1">
      <w:pPr>
        <w:spacing w:before="240" w:line="276" w:lineRule="auto"/>
        <w:ind w:firstLine="708"/>
        <w:contextualSpacing/>
        <w:jc w:val="center"/>
        <w:rPr>
          <w:sz w:val="22"/>
          <w:szCs w:val="22"/>
        </w:rPr>
      </w:pPr>
      <w:r w:rsidRPr="00570C30">
        <w:rPr>
          <w:sz w:val="22"/>
          <w:szCs w:val="22"/>
        </w:rPr>
        <w:t>ТЕХНИЧЕСКОЕ ЗАДАНИЕ</w:t>
      </w:r>
    </w:p>
    <w:p w:rsidR="00AD37D1" w:rsidRDefault="00AD37D1" w:rsidP="00AD37D1">
      <w:pPr>
        <w:spacing w:line="276" w:lineRule="auto"/>
        <w:ind w:firstLine="708"/>
        <w:contextualSpacing/>
        <w:jc w:val="center"/>
        <w:rPr>
          <w:sz w:val="22"/>
          <w:szCs w:val="22"/>
        </w:rPr>
      </w:pPr>
      <w:r w:rsidRPr="00570C30">
        <w:rPr>
          <w:sz w:val="22"/>
          <w:szCs w:val="22"/>
        </w:rPr>
        <w:t xml:space="preserve">на поставку </w:t>
      </w:r>
      <w:r>
        <w:rPr>
          <w:sz w:val="22"/>
          <w:szCs w:val="22"/>
        </w:rPr>
        <w:t>центрифуги лабораторной</w:t>
      </w:r>
    </w:p>
    <w:p w:rsidR="00AD37D1" w:rsidRPr="000054F6" w:rsidRDefault="00AD37D1" w:rsidP="00AD37D1">
      <w:pPr>
        <w:ind w:firstLine="708"/>
        <w:contextualSpacing/>
        <w:jc w:val="center"/>
        <w:rPr>
          <w:sz w:val="28"/>
          <w:szCs w:val="28"/>
        </w:rPr>
      </w:pPr>
    </w:p>
    <w:p w:rsidR="00AD37D1" w:rsidRDefault="00AD37D1" w:rsidP="00AD37D1">
      <w:pPr>
        <w:spacing w:before="240"/>
        <w:ind w:left="708" w:firstLine="708"/>
        <w:contextualSpacing/>
        <w:jc w:val="both"/>
        <w:rPr>
          <w:sz w:val="22"/>
          <w:szCs w:val="22"/>
        </w:rPr>
      </w:pPr>
      <w:r>
        <w:rPr>
          <w:sz w:val="22"/>
          <w:szCs w:val="22"/>
        </w:rPr>
        <w:t>1. Общие требования к товару и условиям поставки: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1.</w:t>
      </w:r>
      <w:r>
        <w:rPr>
          <w:rFonts w:ascii="Times New Roman" w:hAnsi="Times New Roman" w:cs="Times New Roman"/>
          <w:sz w:val="24"/>
          <w:szCs w:val="24"/>
        </w:rPr>
        <w:t>1</w:t>
      </w:r>
      <w:r w:rsidRPr="00B97D7A">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D37D1" w:rsidRPr="00B97D7A" w:rsidRDefault="00AD37D1" w:rsidP="00AD37D1">
      <w:pPr>
        <w:widowControl w:val="0"/>
        <w:overflowPunct w:val="0"/>
        <w:autoSpaceDE w:val="0"/>
        <w:autoSpaceDN w:val="0"/>
        <w:adjustRightInd w:val="0"/>
        <w:ind w:firstLine="567"/>
        <w:contextualSpacing/>
        <w:jc w:val="both"/>
      </w:pPr>
      <w:r>
        <w:t>1.</w:t>
      </w:r>
      <w:r w:rsidRPr="00B97D7A">
        <w:t>2. Поставка</w:t>
      </w:r>
      <w:r>
        <w:t>, ввод в эксплуатацию</w:t>
      </w:r>
      <w:r w:rsidRPr="00B97D7A">
        <w:t xml:space="preserve"> Оборудования</w:t>
      </w:r>
      <w:r>
        <w:t>,</w:t>
      </w:r>
      <w:r w:rsidRPr="00B97D7A">
        <w:t xml:space="preserve"> </w:t>
      </w:r>
      <w:r>
        <w:t xml:space="preserve">и проведение инструктажа </w:t>
      </w:r>
      <w:r w:rsidRPr="00B97D7A">
        <w:t xml:space="preserve">осуществляется Поставщиком </w:t>
      </w:r>
      <w:r>
        <w:t xml:space="preserve">в течение 60 календарных дней с момента перечисления аванса. </w:t>
      </w:r>
    </w:p>
    <w:p w:rsidR="00AD37D1" w:rsidRPr="00B97D7A" w:rsidRDefault="00AD37D1" w:rsidP="00AD37D1">
      <w:pPr>
        <w:widowControl w:val="0"/>
        <w:overflowPunct w:val="0"/>
        <w:autoSpaceDE w:val="0"/>
        <w:autoSpaceDN w:val="0"/>
        <w:adjustRightInd w:val="0"/>
        <w:ind w:firstLine="567"/>
        <w:contextualSpacing/>
        <w:jc w:val="both"/>
      </w:pPr>
      <w:r>
        <w:t>1.3</w:t>
      </w:r>
      <w:r w:rsidRPr="00B97D7A">
        <w:t>. Год вы</w:t>
      </w:r>
      <w:r>
        <w:t>пуска оборудования  не ранее 2021</w:t>
      </w:r>
      <w:r w:rsidRPr="00B97D7A">
        <w:t xml:space="preserve"> года.</w:t>
      </w:r>
    </w:p>
    <w:p w:rsidR="00AD37D1" w:rsidRPr="00B97D7A" w:rsidRDefault="00AD37D1" w:rsidP="00AD37D1">
      <w:pPr>
        <w:widowControl w:val="0"/>
        <w:contextualSpacing/>
        <w:jc w:val="both"/>
      </w:pPr>
      <w:r w:rsidRPr="00B97D7A">
        <w:t xml:space="preserve">         </w:t>
      </w:r>
      <w:r>
        <w:t>1.</w:t>
      </w:r>
      <w:r w:rsidRPr="00B97D7A">
        <w:t>4. Гарантийные обязательства:</w:t>
      </w:r>
    </w:p>
    <w:p w:rsidR="00AD37D1" w:rsidRPr="00B97D7A" w:rsidRDefault="00AD37D1" w:rsidP="00AD37D1">
      <w:pPr>
        <w:widowControl w:val="0"/>
        <w:ind w:firstLine="708"/>
        <w:contextualSpacing/>
        <w:jc w:val="both"/>
      </w:pPr>
      <w:r>
        <w:t>Поставляемое оборудование должно быть</w:t>
      </w:r>
      <w:r w:rsidRPr="00B97D7A">
        <w:t xml:space="preserve"> новым, ранее неиспользованным, серийно выпускаемым. </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Поставляемое оборудование недолжно иметь</w:t>
      </w:r>
      <w:r w:rsidRPr="00B97D7A">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Поставляемое оборудование должно </w:t>
      </w:r>
      <w:r w:rsidRPr="00B97D7A">
        <w:rPr>
          <w:rFonts w:ascii="Times New Roman" w:hAnsi="Times New Roman" w:cs="Times New Roman"/>
          <w:sz w:val="24"/>
          <w:szCs w:val="24"/>
        </w:rPr>
        <w:t>соответств</w:t>
      </w:r>
      <w:r>
        <w:rPr>
          <w:rFonts w:ascii="Times New Roman" w:hAnsi="Times New Roman" w:cs="Times New Roman"/>
          <w:sz w:val="24"/>
          <w:szCs w:val="24"/>
        </w:rPr>
        <w:t>овать</w:t>
      </w:r>
      <w:r w:rsidRPr="00B97D7A">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Pr>
          <w:rFonts w:ascii="Times New Roman" w:hAnsi="Times New Roman" w:cs="Times New Roman"/>
          <w:sz w:val="24"/>
          <w:szCs w:val="24"/>
        </w:rPr>
        <w:t>ь</w:t>
      </w:r>
      <w:r w:rsidRPr="00B97D7A">
        <w:rPr>
          <w:rFonts w:ascii="Times New Roman" w:hAnsi="Times New Roman" w:cs="Times New Roman"/>
          <w:sz w:val="24"/>
          <w:szCs w:val="24"/>
        </w:rPr>
        <w:t xml:space="preserve"> безопасность жизни, здоровья потребителей, отвечат</w:t>
      </w:r>
      <w:r>
        <w:rPr>
          <w:rFonts w:ascii="Times New Roman" w:hAnsi="Times New Roman" w:cs="Times New Roman"/>
          <w:sz w:val="24"/>
          <w:szCs w:val="24"/>
        </w:rPr>
        <w:t>ь</w:t>
      </w:r>
      <w:r w:rsidRPr="00B97D7A">
        <w:rPr>
          <w:rFonts w:ascii="Times New Roman" w:hAnsi="Times New Roman" w:cs="Times New Roman"/>
          <w:sz w:val="24"/>
          <w:szCs w:val="24"/>
        </w:rPr>
        <w:t xml:space="preserve"> требованиям действующего законодательства Российской Федерации.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AD37D1"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Гарантия на Оборудование </w:t>
      </w:r>
      <w:r>
        <w:rPr>
          <w:rFonts w:ascii="Times New Roman" w:hAnsi="Times New Roman" w:cs="Times New Roman"/>
          <w:sz w:val="24"/>
          <w:szCs w:val="24"/>
        </w:rPr>
        <w:t>составляет не менее 12 месяцев,</w:t>
      </w:r>
      <w:r w:rsidRPr="00B97D7A">
        <w:rPr>
          <w:rFonts w:ascii="Times New Roman" w:hAnsi="Times New Roman" w:cs="Times New Roman"/>
          <w:sz w:val="24"/>
          <w:szCs w:val="24"/>
        </w:rPr>
        <w:t xml:space="preserve"> но не менее срока гарантии предоставляемой производителем.</w:t>
      </w:r>
      <w:r>
        <w:rPr>
          <w:rFonts w:ascii="Times New Roman" w:hAnsi="Times New Roman" w:cs="Times New Roman"/>
          <w:sz w:val="24"/>
          <w:szCs w:val="24"/>
        </w:rPr>
        <w:t xml:space="preserve"> </w:t>
      </w:r>
      <w:r w:rsidRPr="00B97D7A">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r>
        <w:rPr>
          <w:rFonts w:ascii="Times New Roman" w:hAnsi="Times New Roman" w:cs="Times New Roman"/>
          <w:sz w:val="24"/>
          <w:szCs w:val="24"/>
        </w:rPr>
        <w:t>.</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В случае если гарантийный ремонт составит более 5 (пяти) рабочих дней, Поставщик обязан </w:t>
      </w:r>
      <w:r w:rsidRPr="00A12871">
        <w:rPr>
          <w:rFonts w:ascii="Times New Roman" w:hAnsi="Times New Roman" w:cs="Times New Roman"/>
          <w:sz w:val="24"/>
          <w:szCs w:val="24"/>
        </w:rPr>
        <w:t>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Pr="00E97077">
        <w:rPr>
          <w:rFonts w:ascii="Times New Roman" w:hAnsi="Times New Roman" w:cs="Times New Roman"/>
          <w:sz w:val="24"/>
          <w:szCs w:val="24"/>
        </w:rPr>
        <w:t>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Pr>
          <w:rFonts w:ascii="Times New Roman" w:hAnsi="Times New Roman" w:cs="Times New Roman"/>
          <w:sz w:val="24"/>
          <w:szCs w:val="24"/>
        </w:rPr>
        <w:t>.</w:t>
      </w:r>
      <w:r w:rsidRPr="00E97077">
        <w:rPr>
          <w:rFonts w:ascii="Times New Roman" w:hAnsi="Times New Roman" w:cs="Times New Roman"/>
          <w:sz w:val="24"/>
          <w:szCs w:val="24"/>
        </w:rPr>
        <w:t xml:space="preserve"> </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Pr="00421D0E">
        <w:rPr>
          <w:rFonts w:ascii="Times New Roman" w:hAnsi="Times New Roman" w:cs="Times New Roman"/>
          <w:sz w:val="24"/>
          <w:szCs w:val="24"/>
        </w:rPr>
        <w:t xml:space="preserve">. </w:t>
      </w:r>
      <w:r>
        <w:rPr>
          <w:rFonts w:ascii="Times New Roman" w:hAnsi="Times New Roman" w:cs="Times New Roman"/>
          <w:sz w:val="24"/>
          <w:szCs w:val="24"/>
        </w:rPr>
        <w:t>Технические требования и параметры:</w:t>
      </w:r>
    </w:p>
    <w:p w:rsidR="00AD37D1" w:rsidRDefault="00AD37D1" w:rsidP="00AD37D1">
      <w:pPr>
        <w:pStyle w:val="ConsPlusNormal"/>
        <w:ind w:firstLine="540"/>
        <w:contextualSpacing/>
        <w:jc w:val="both"/>
        <w:rPr>
          <w:rFonts w:ascii="Times New Roman" w:hAnsi="Times New Roman" w:cs="Times New Roman"/>
          <w:sz w:val="24"/>
          <w:szCs w:val="24"/>
        </w:rPr>
      </w:pPr>
    </w:p>
    <w:p w:rsidR="00FE584A" w:rsidRDefault="00FE584A" w:rsidP="00E16920">
      <w:pPr>
        <w:ind w:firstLine="708"/>
        <w:contextualSpacing/>
        <w:jc w:val="center"/>
        <w:rPr>
          <w:b/>
          <w:sz w:val="22"/>
          <w:szCs w:val="22"/>
        </w:rPr>
        <w:sectPr w:rsidR="00FE584A" w:rsidSect="00FE584A">
          <w:footerReference w:type="even" r:id="rId8"/>
          <w:footerReference w:type="default" r:id="rId9"/>
          <w:pgSz w:w="11906" w:h="16838"/>
          <w:pgMar w:top="851" w:right="851" w:bottom="993" w:left="1134" w:header="709" w:footer="709" w:gutter="0"/>
          <w:cols w:space="708"/>
          <w:titlePg/>
          <w:docGrid w:linePitch="360"/>
        </w:sect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558"/>
        <w:gridCol w:w="569"/>
        <w:gridCol w:w="2674"/>
        <w:gridCol w:w="45"/>
        <w:gridCol w:w="3451"/>
        <w:gridCol w:w="766"/>
        <w:gridCol w:w="1240"/>
      </w:tblGrid>
      <w:tr w:rsidR="009379C8" w:rsidRPr="00570C30" w:rsidTr="009379C8">
        <w:trPr>
          <w:trHeight w:val="1413"/>
        </w:trPr>
        <w:tc>
          <w:tcPr>
            <w:tcW w:w="199" w:type="pct"/>
            <w:vAlign w:val="center"/>
          </w:tcPr>
          <w:p w:rsidR="009379C8" w:rsidRDefault="009379C8" w:rsidP="00BE0EC2">
            <w:pPr>
              <w:contextualSpacing/>
              <w:jc w:val="center"/>
              <w:rPr>
                <w:color w:val="000000"/>
                <w:sz w:val="20"/>
                <w:szCs w:val="20"/>
              </w:rPr>
            </w:pPr>
            <w:r>
              <w:rPr>
                <w:color w:val="000000"/>
                <w:sz w:val="20"/>
                <w:szCs w:val="20"/>
              </w:rPr>
              <w:lastRenderedPageBreak/>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726" w:type="pct"/>
            <w:vAlign w:val="center"/>
          </w:tcPr>
          <w:p w:rsidR="009379C8" w:rsidRDefault="009379C8" w:rsidP="00BE0EC2">
            <w:pPr>
              <w:contextualSpacing/>
              <w:jc w:val="center"/>
              <w:rPr>
                <w:color w:val="000000"/>
                <w:sz w:val="20"/>
                <w:szCs w:val="20"/>
              </w:rPr>
            </w:pPr>
            <w:r>
              <w:rPr>
                <w:color w:val="000000"/>
                <w:sz w:val="20"/>
                <w:szCs w:val="20"/>
              </w:rPr>
              <w:t>Наименование товара</w:t>
            </w:r>
          </w:p>
        </w:tc>
        <w:tc>
          <w:tcPr>
            <w:tcW w:w="4075" w:type="pct"/>
            <w:gridSpan w:val="6"/>
            <w:vAlign w:val="center"/>
          </w:tcPr>
          <w:p w:rsidR="009379C8" w:rsidRPr="0046288E" w:rsidRDefault="009379C8" w:rsidP="00BE0EC2">
            <w:pPr>
              <w:contextualSpacing/>
              <w:jc w:val="center"/>
              <w:rPr>
                <w:color w:val="000000"/>
                <w:sz w:val="20"/>
                <w:szCs w:val="20"/>
              </w:rPr>
            </w:pPr>
            <w:r>
              <w:rPr>
                <w:color w:val="000000"/>
                <w:sz w:val="20"/>
                <w:szCs w:val="20"/>
              </w:rPr>
              <w:t>Технические требования и параметры</w:t>
            </w:r>
          </w:p>
        </w:tc>
      </w:tr>
      <w:tr w:rsidR="009379C8" w:rsidRPr="00570C30" w:rsidTr="00D36D78">
        <w:trPr>
          <w:trHeight w:val="1413"/>
        </w:trPr>
        <w:tc>
          <w:tcPr>
            <w:tcW w:w="199" w:type="pct"/>
            <w:vMerge w:val="restart"/>
            <w:vAlign w:val="center"/>
          </w:tcPr>
          <w:p w:rsidR="009379C8" w:rsidRPr="00570C30" w:rsidRDefault="009379C8" w:rsidP="00BE0EC2">
            <w:pPr>
              <w:spacing w:line="276" w:lineRule="auto"/>
              <w:contextualSpacing/>
              <w:jc w:val="center"/>
              <w:rPr>
                <w:color w:val="000000"/>
                <w:sz w:val="20"/>
                <w:szCs w:val="20"/>
              </w:rPr>
            </w:pPr>
            <w:r>
              <w:rPr>
                <w:color w:val="000000"/>
                <w:sz w:val="20"/>
                <w:szCs w:val="20"/>
              </w:rPr>
              <w:t>1</w:t>
            </w:r>
          </w:p>
        </w:tc>
        <w:tc>
          <w:tcPr>
            <w:tcW w:w="726" w:type="pct"/>
            <w:vMerge w:val="restart"/>
            <w:vAlign w:val="center"/>
          </w:tcPr>
          <w:p w:rsidR="009379C8" w:rsidRPr="00570C30" w:rsidRDefault="009379C8" w:rsidP="00BE0EC2">
            <w:pPr>
              <w:spacing w:line="276" w:lineRule="auto"/>
              <w:contextualSpacing/>
              <w:jc w:val="center"/>
              <w:rPr>
                <w:color w:val="000000"/>
                <w:sz w:val="20"/>
                <w:szCs w:val="20"/>
              </w:rPr>
            </w:pPr>
            <w:r>
              <w:rPr>
                <w:b/>
                <w:color w:val="000000"/>
                <w:sz w:val="20"/>
                <w:szCs w:val="20"/>
              </w:rPr>
              <w:t>Центрифуга лабораторная</w:t>
            </w:r>
          </w:p>
        </w:tc>
        <w:tc>
          <w:tcPr>
            <w:tcW w:w="265" w:type="pct"/>
            <w:vAlign w:val="center"/>
          </w:tcPr>
          <w:p w:rsidR="009379C8" w:rsidRPr="00570C30" w:rsidRDefault="009379C8" w:rsidP="00BE0EC2">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246" w:type="pct"/>
            <w:shd w:val="clear" w:color="auto" w:fill="auto"/>
            <w:vAlign w:val="center"/>
            <w:hideMark/>
          </w:tcPr>
          <w:p w:rsidR="009379C8" w:rsidRPr="00570C30" w:rsidRDefault="009379C8" w:rsidP="00BE0EC2">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1629" w:type="pct"/>
            <w:gridSpan w:val="2"/>
            <w:shd w:val="clear" w:color="auto" w:fill="auto"/>
            <w:vAlign w:val="center"/>
          </w:tcPr>
          <w:p w:rsidR="009379C8" w:rsidRPr="00570C30" w:rsidRDefault="009379C8" w:rsidP="00BE0EC2">
            <w:pPr>
              <w:contextualSpacing/>
              <w:jc w:val="center"/>
              <w:rPr>
                <w:color w:val="000000"/>
                <w:sz w:val="22"/>
                <w:szCs w:val="22"/>
              </w:rPr>
            </w:pPr>
            <w:r w:rsidRPr="00570C30">
              <w:rPr>
                <w:color w:val="000000"/>
                <w:sz w:val="20"/>
                <w:szCs w:val="20"/>
              </w:rPr>
              <w:t>Значение показателя</w:t>
            </w:r>
          </w:p>
        </w:tc>
        <w:tc>
          <w:tcPr>
            <w:tcW w:w="357" w:type="pct"/>
            <w:vAlign w:val="center"/>
          </w:tcPr>
          <w:p w:rsidR="009379C8" w:rsidRPr="0046288E" w:rsidRDefault="009379C8" w:rsidP="00BE0EC2">
            <w:pPr>
              <w:contextualSpacing/>
              <w:jc w:val="center"/>
              <w:rPr>
                <w:color w:val="000000"/>
                <w:sz w:val="20"/>
                <w:szCs w:val="20"/>
              </w:rPr>
            </w:pPr>
            <w:r>
              <w:rPr>
                <w:color w:val="000000"/>
                <w:sz w:val="20"/>
                <w:szCs w:val="20"/>
              </w:rPr>
              <w:t>Кол-</w:t>
            </w:r>
            <w:r w:rsidRPr="0046288E">
              <w:rPr>
                <w:color w:val="000000"/>
                <w:sz w:val="20"/>
                <w:szCs w:val="20"/>
              </w:rPr>
              <w:t>во</w:t>
            </w:r>
          </w:p>
        </w:tc>
        <w:tc>
          <w:tcPr>
            <w:tcW w:w="578" w:type="pct"/>
          </w:tcPr>
          <w:p w:rsidR="009379C8" w:rsidRPr="0046288E" w:rsidRDefault="009379C8" w:rsidP="00BE0EC2">
            <w:pPr>
              <w:contextualSpacing/>
              <w:jc w:val="center"/>
              <w:rPr>
                <w:color w:val="000000"/>
                <w:sz w:val="20"/>
                <w:szCs w:val="20"/>
              </w:rPr>
            </w:pPr>
          </w:p>
        </w:tc>
      </w:tr>
      <w:tr w:rsidR="009379C8" w:rsidRPr="00570C30" w:rsidTr="00D36D78">
        <w:trPr>
          <w:trHeight w:val="411"/>
        </w:trPr>
        <w:tc>
          <w:tcPr>
            <w:tcW w:w="199" w:type="pct"/>
            <w:vMerge/>
          </w:tcPr>
          <w:p w:rsidR="009379C8" w:rsidRPr="00570C30" w:rsidRDefault="009379C8" w:rsidP="00BE0EC2">
            <w:pPr>
              <w:spacing w:line="276" w:lineRule="auto"/>
              <w:contextualSpacing/>
              <w:jc w:val="center"/>
              <w:rPr>
                <w:color w:val="000000"/>
                <w:sz w:val="20"/>
                <w:szCs w:val="20"/>
              </w:rPr>
            </w:pPr>
          </w:p>
        </w:tc>
        <w:tc>
          <w:tcPr>
            <w:tcW w:w="726" w:type="pct"/>
            <w:vMerge/>
            <w:vAlign w:val="center"/>
          </w:tcPr>
          <w:p w:rsidR="009379C8" w:rsidRPr="00570C30" w:rsidRDefault="009379C8" w:rsidP="00BE0EC2">
            <w:pPr>
              <w:spacing w:line="276" w:lineRule="auto"/>
              <w:contextualSpacing/>
              <w:jc w:val="center"/>
              <w:rPr>
                <w:color w:val="000000"/>
                <w:sz w:val="20"/>
                <w:szCs w:val="20"/>
              </w:rPr>
            </w:pPr>
          </w:p>
        </w:tc>
        <w:tc>
          <w:tcPr>
            <w:tcW w:w="3140" w:type="pct"/>
            <w:gridSpan w:val="4"/>
            <w:vAlign w:val="center"/>
          </w:tcPr>
          <w:p w:rsidR="009379C8" w:rsidRPr="00667A84" w:rsidRDefault="009379C8" w:rsidP="009379C8">
            <w:pPr>
              <w:pStyle w:val="afd"/>
              <w:numPr>
                <w:ilvl w:val="0"/>
                <w:numId w:val="32"/>
              </w:numPr>
              <w:jc w:val="center"/>
              <w:rPr>
                <w:color w:val="000000"/>
                <w:sz w:val="20"/>
                <w:szCs w:val="20"/>
              </w:rPr>
            </w:pPr>
            <w:r w:rsidRPr="00667A84">
              <w:rPr>
                <w:color w:val="000000"/>
                <w:sz w:val="20"/>
                <w:szCs w:val="20"/>
              </w:rPr>
              <w:t>Основные параметры</w:t>
            </w:r>
          </w:p>
        </w:tc>
        <w:tc>
          <w:tcPr>
            <w:tcW w:w="357" w:type="pct"/>
            <w:vMerge w:val="restart"/>
            <w:vAlign w:val="center"/>
          </w:tcPr>
          <w:p w:rsidR="009379C8" w:rsidRPr="00570C30" w:rsidRDefault="009379C8" w:rsidP="00BE0EC2">
            <w:pPr>
              <w:contextualSpacing/>
              <w:jc w:val="center"/>
              <w:rPr>
                <w:color w:val="000000"/>
                <w:sz w:val="20"/>
                <w:szCs w:val="20"/>
              </w:rPr>
            </w:pPr>
            <w:r w:rsidRPr="00570C30">
              <w:rPr>
                <w:color w:val="000000"/>
                <w:sz w:val="20"/>
                <w:szCs w:val="20"/>
              </w:rPr>
              <w:t>1 шт.</w:t>
            </w:r>
          </w:p>
        </w:tc>
        <w:tc>
          <w:tcPr>
            <w:tcW w:w="578" w:type="pct"/>
            <w:vMerge w:val="restart"/>
          </w:tcPr>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4A5F9F" w:rsidRDefault="004A5F9F" w:rsidP="00BE0EC2">
            <w:pPr>
              <w:contextualSpacing/>
              <w:jc w:val="center"/>
              <w:rPr>
                <w:color w:val="000000"/>
                <w:sz w:val="20"/>
                <w:szCs w:val="20"/>
              </w:rPr>
            </w:pPr>
          </w:p>
          <w:p w:rsidR="009379C8" w:rsidRPr="00570C30" w:rsidRDefault="004A5F9F" w:rsidP="004A5F9F">
            <w:pPr>
              <w:contextualSpacing/>
              <w:rPr>
                <w:color w:val="000000"/>
                <w:sz w:val="20"/>
                <w:szCs w:val="20"/>
              </w:rPr>
            </w:pPr>
            <w:r>
              <w:rPr>
                <w:color w:val="000000"/>
                <w:sz w:val="20"/>
                <w:szCs w:val="20"/>
              </w:rPr>
              <w:t>319 728-80</w:t>
            </w:r>
          </w:p>
        </w:tc>
      </w:tr>
      <w:tr w:rsidR="00D36D78" w:rsidRPr="00570C30" w:rsidTr="00D36D78">
        <w:trPr>
          <w:trHeight w:val="836"/>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sidRPr="00570C30">
              <w:rPr>
                <w:color w:val="000000"/>
                <w:sz w:val="20"/>
                <w:szCs w:val="20"/>
              </w:rPr>
              <w:t>1.1</w:t>
            </w:r>
          </w:p>
        </w:tc>
        <w:tc>
          <w:tcPr>
            <w:tcW w:w="1246" w:type="pct"/>
            <w:shd w:val="clear" w:color="auto" w:fill="auto"/>
            <w:vAlign w:val="center"/>
            <w:hideMark/>
          </w:tcPr>
          <w:p w:rsidR="00D36D78" w:rsidRPr="00535B30" w:rsidRDefault="00D36D78" w:rsidP="00BE0EC2">
            <w:pPr>
              <w:contextualSpacing/>
              <w:rPr>
                <w:color w:val="000000"/>
                <w:sz w:val="20"/>
                <w:szCs w:val="20"/>
              </w:rPr>
            </w:pPr>
            <w:r>
              <w:rPr>
                <w:color w:val="000000"/>
                <w:sz w:val="20"/>
                <w:szCs w:val="20"/>
              </w:rPr>
              <w:t xml:space="preserve">Назначение </w:t>
            </w:r>
          </w:p>
        </w:tc>
        <w:tc>
          <w:tcPr>
            <w:tcW w:w="1629" w:type="pct"/>
            <w:gridSpan w:val="2"/>
            <w:shd w:val="clear" w:color="auto" w:fill="auto"/>
            <w:vAlign w:val="center"/>
            <w:hideMark/>
          </w:tcPr>
          <w:p w:rsidR="00D36D78" w:rsidRPr="004A7484" w:rsidRDefault="00D36D78" w:rsidP="00BE0EC2">
            <w:pPr>
              <w:contextualSpacing/>
              <w:jc w:val="center"/>
              <w:rPr>
                <w:rFonts w:ascii="Calibri" w:hAnsi="Calibri"/>
                <w:color w:val="000000"/>
                <w:sz w:val="20"/>
                <w:szCs w:val="20"/>
              </w:rPr>
            </w:pPr>
            <w:r>
              <w:rPr>
                <w:color w:val="000000"/>
                <w:sz w:val="20"/>
                <w:szCs w:val="20"/>
              </w:rPr>
              <w:t>разделение материалов или их смесей, подготовка медицинских образцов к диагностике в пробирке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22"/>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1.2</w:t>
            </w:r>
          </w:p>
        </w:tc>
        <w:tc>
          <w:tcPr>
            <w:tcW w:w="1246" w:type="pct"/>
            <w:shd w:val="clear" w:color="auto" w:fill="auto"/>
            <w:vAlign w:val="center"/>
            <w:hideMark/>
          </w:tcPr>
          <w:p w:rsidR="00D36D78" w:rsidRDefault="00D36D78" w:rsidP="00BE0EC2">
            <w:pPr>
              <w:contextualSpacing/>
              <w:rPr>
                <w:color w:val="000000"/>
                <w:sz w:val="20"/>
                <w:szCs w:val="20"/>
              </w:rPr>
            </w:pPr>
            <w:r>
              <w:rPr>
                <w:color w:val="000000"/>
                <w:sz w:val="20"/>
                <w:szCs w:val="20"/>
              </w:rPr>
              <w:t>Тип</w:t>
            </w:r>
          </w:p>
        </w:tc>
        <w:tc>
          <w:tcPr>
            <w:tcW w:w="1629" w:type="pct"/>
            <w:gridSpan w:val="2"/>
            <w:shd w:val="clear" w:color="auto" w:fill="auto"/>
            <w:vAlign w:val="center"/>
            <w:hideMark/>
          </w:tcPr>
          <w:p w:rsidR="00D36D78" w:rsidRDefault="00D36D78" w:rsidP="00BE0EC2">
            <w:pPr>
              <w:contextualSpacing/>
              <w:jc w:val="center"/>
              <w:rPr>
                <w:color w:val="000000"/>
                <w:sz w:val="20"/>
                <w:szCs w:val="20"/>
              </w:rPr>
            </w:pPr>
            <w:r>
              <w:rPr>
                <w:color w:val="000000"/>
                <w:sz w:val="20"/>
                <w:szCs w:val="20"/>
              </w:rPr>
              <w:t>настольная</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02"/>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1.3</w:t>
            </w:r>
          </w:p>
        </w:tc>
        <w:tc>
          <w:tcPr>
            <w:tcW w:w="1246" w:type="pct"/>
            <w:shd w:val="clear" w:color="auto" w:fill="auto"/>
            <w:vAlign w:val="center"/>
            <w:hideMark/>
          </w:tcPr>
          <w:p w:rsidR="00D36D78" w:rsidRDefault="00D36D78" w:rsidP="00BE0EC2">
            <w:pPr>
              <w:contextualSpacing/>
              <w:rPr>
                <w:color w:val="000000"/>
                <w:sz w:val="20"/>
                <w:szCs w:val="20"/>
              </w:rPr>
            </w:pPr>
            <w:r>
              <w:rPr>
                <w:color w:val="000000"/>
                <w:sz w:val="20"/>
                <w:szCs w:val="20"/>
              </w:rPr>
              <w:t xml:space="preserve">Контроль </w:t>
            </w:r>
          </w:p>
        </w:tc>
        <w:tc>
          <w:tcPr>
            <w:tcW w:w="1629" w:type="pct"/>
            <w:gridSpan w:val="2"/>
            <w:shd w:val="clear" w:color="auto" w:fill="auto"/>
            <w:vAlign w:val="center"/>
            <w:hideMark/>
          </w:tcPr>
          <w:p w:rsidR="00D36D78" w:rsidRDefault="00D36D78" w:rsidP="00BE0EC2">
            <w:pPr>
              <w:contextualSpacing/>
              <w:jc w:val="center"/>
              <w:rPr>
                <w:color w:val="000000"/>
                <w:sz w:val="20"/>
                <w:szCs w:val="20"/>
              </w:rPr>
            </w:pPr>
            <w:r>
              <w:rPr>
                <w:color w:val="000000"/>
                <w:sz w:val="20"/>
                <w:szCs w:val="20"/>
              </w:rPr>
              <w:t>микропроцессорный</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9379C8" w:rsidRPr="00570C30" w:rsidTr="00D36D78">
        <w:trPr>
          <w:trHeight w:val="311"/>
        </w:trPr>
        <w:tc>
          <w:tcPr>
            <w:tcW w:w="199" w:type="pct"/>
            <w:vMerge/>
          </w:tcPr>
          <w:p w:rsidR="009379C8" w:rsidRPr="00570C30" w:rsidRDefault="009379C8" w:rsidP="00BE0EC2">
            <w:pPr>
              <w:rPr>
                <w:sz w:val="22"/>
                <w:szCs w:val="22"/>
              </w:rPr>
            </w:pPr>
          </w:p>
        </w:tc>
        <w:tc>
          <w:tcPr>
            <w:tcW w:w="726" w:type="pct"/>
            <w:vMerge/>
          </w:tcPr>
          <w:p w:rsidR="009379C8" w:rsidRPr="00570C30" w:rsidRDefault="009379C8" w:rsidP="00BE0EC2">
            <w:pPr>
              <w:rPr>
                <w:sz w:val="22"/>
                <w:szCs w:val="22"/>
              </w:rPr>
            </w:pPr>
          </w:p>
        </w:tc>
        <w:tc>
          <w:tcPr>
            <w:tcW w:w="3140" w:type="pct"/>
            <w:gridSpan w:val="4"/>
            <w:vAlign w:val="center"/>
          </w:tcPr>
          <w:p w:rsidR="009379C8" w:rsidRPr="0066215E" w:rsidRDefault="009379C8" w:rsidP="009379C8">
            <w:pPr>
              <w:pStyle w:val="afd"/>
              <w:numPr>
                <w:ilvl w:val="0"/>
                <w:numId w:val="32"/>
              </w:numPr>
              <w:jc w:val="center"/>
              <w:rPr>
                <w:color w:val="000000"/>
                <w:sz w:val="20"/>
                <w:szCs w:val="20"/>
              </w:rPr>
            </w:pPr>
            <w:r>
              <w:rPr>
                <w:color w:val="000000"/>
                <w:sz w:val="20"/>
                <w:szCs w:val="20"/>
              </w:rPr>
              <w:t>Функциональные и технические требования</w:t>
            </w:r>
          </w:p>
        </w:tc>
        <w:tc>
          <w:tcPr>
            <w:tcW w:w="357" w:type="pct"/>
            <w:vMerge/>
          </w:tcPr>
          <w:p w:rsidR="009379C8" w:rsidRPr="00570C30" w:rsidRDefault="009379C8" w:rsidP="00BE0EC2">
            <w:pPr>
              <w:contextualSpacing/>
              <w:jc w:val="both"/>
              <w:rPr>
                <w:color w:val="000000"/>
                <w:sz w:val="22"/>
                <w:szCs w:val="22"/>
              </w:rPr>
            </w:pPr>
          </w:p>
        </w:tc>
        <w:tc>
          <w:tcPr>
            <w:tcW w:w="578" w:type="pct"/>
            <w:vMerge/>
          </w:tcPr>
          <w:p w:rsidR="009379C8" w:rsidRPr="00570C30" w:rsidRDefault="009379C8" w:rsidP="00BE0EC2">
            <w:pPr>
              <w:contextualSpacing/>
              <w:jc w:val="both"/>
              <w:rPr>
                <w:color w:val="000000"/>
                <w:sz w:val="22"/>
                <w:szCs w:val="22"/>
              </w:rPr>
            </w:pPr>
          </w:p>
        </w:tc>
      </w:tr>
      <w:tr w:rsidR="00D36D78" w:rsidRPr="00570C30" w:rsidTr="00D36D78">
        <w:trPr>
          <w:trHeight w:val="40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Диапазон скоростей вращения, об</w:t>
            </w:r>
            <w:proofErr w:type="gramStart"/>
            <w:r>
              <w:rPr>
                <w:color w:val="000000"/>
                <w:sz w:val="20"/>
                <w:szCs w:val="20"/>
              </w:rPr>
              <w:t>.</w:t>
            </w:r>
            <w:proofErr w:type="gramEnd"/>
            <w:r>
              <w:rPr>
                <w:color w:val="000000"/>
                <w:sz w:val="20"/>
                <w:szCs w:val="20"/>
              </w:rPr>
              <w:t>/</w:t>
            </w:r>
            <w:proofErr w:type="gramStart"/>
            <w:r>
              <w:rPr>
                <w:color w:val="000000"/>
                <w:sz w:val="20"/>
                <w:szCs w:val="20"/>
              </w:rPr>
              <w:t>м</w:t>
            </w:r>
            <w:proofErr w:type="gramEnd"/>
            <w:r>
              <w:rPr>
                <w:color w:val="000000"/>
                <w:sz w:val="20"/>
                <w:szCs w:val="20"/>
              </w:rPr>
              <w:t>ин</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уже от 500 до 6000</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2.2</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 xml:space="preserve">Максимальное ускорение, </w:t>
            </w:r>
            <w:proofErr w:type="gramStart"/>
            <w:r>
              <w:rPr>
                <w:color w:val="000000"/>
                <w:sz w:val="20"/>
                <w:szCs w:val="20"/>
              </w:rPr>
              <w:t>г</w:t>
            </w:r>
            <w:proofErr w:type="gramEnd"/>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менее 4226</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2.3</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Шаг изменения скорости вращения, об</w:t>
            </w:r>
            <w:proofErr w:type="gramStart"/>
            <w:r>
              <w:rPr>
                <w:color w:val="000000"/>
                <w:sz w:val="20"/>
                <w:szCs w:val="20"/>
              </w:rPr>
              <w:t>.</w:t>
            </w:r>
            <w:proofErr w:type="gramEnd"/>
            <w:r>
              <w:rPr>
                <w:color w:val="000000"/>
                <w:sz w:val="20"/>
                <w:szCs w:val="20"/>
              </w:rPr>
              <w:t>/</w:t>
            </w:r>
            <w:proofErr w:type="gramStart"/>
            <w:r>
              <w:rPr>
                <w:color w:val="000000"/>
                <w:sz w:val="20"/>
                <w:szCs w:val="20"/>
              </w:rPr>
              <w:t>м</w:t>
            </w:r>
            <w:proofErr w:type="gramEnd"/>
            <w:r>
              <w:rPr>
                <w:color w:val="000000"/>
                <w:sz w:val="20"/>
                <w:szCs w:val="20"/>
              </w:rPr>
              <w:t>ин.</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более 100</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2.4</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Диапазон установки таймера, мин.</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уже от 1 до 99</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2.5</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Шаг установки таймера, мин.</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реже 1</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2.6</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Функция непрерывного центрифугирования</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Pr="00570C30" w:rsidRDefault="00D36D78" w:rsidP="00BE0EC2">
            <w:pPr>
              <w:contextualSpacing/>
              <w:jc w:val="center"/>
              <w:rPr>
                <w:color w:val="000000"/>
                <w:sz w:val="20"/>
                <w:szCs w:val="20"/>
              </w:rPr>
            </w:pPr>
            <w:r>
              <w:rPr>
                <w:color w:val="000000"/>
                <w:sz w:val="20"/>
                <w:szCs w:val="20"/>
              </w:rPr>
              <w:t>2.7</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Функция кратковременного центрифугирования</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2.8</w:t>
            </w:r>
          </w:p>
        </w:tc>
        <w:tc>
          <w:tcPr>
            <w:tcW w:w="1267" w:type="pct"/>
            <w:gridSpan w:val="2"/>
            <w:shd w:val="clear" w:color="auto" w:fill="auto"/>
            <w:vAlign w:val="center"/>
            <w:hideMark/>
          </w:tcPr>
          <w:p w:rsidR="00D36D78" w:rsidRDefault="00D36D78" w:rsidP="00BE0EC2">
            <w:pPr>
              <w:contextualSpacing/>
              <w:rPr>
                <w:color w:val="000000"/>
                <w:sz w:val="20"/>
                <w:szCs w:val="20"/>
              </w:rPr>
            </w:pPr>
            <w:r>
              <w:rPr>
                <w:color w:val="000000"/>
                <w:sz w:val="20"/>
                <w:szCs w:val="20"/>
              </w:rPr>
              <w:t>Охлаждение</w:t>
            </w:r>
          </w:p>
        </w:tc>
        <w:tc>
          <w:tcPr>
            <w:tcW w:w="1608" w:type="pct"/>
            <w:shd w:val="clear" w:color="auto" w:fill="auto"/>
            <w:vAlign w:val="center"/>
            <w:hideMark/>
          </w:tcPr>
          <w:p w:rsidR="00D36D78" w:rsidRDefault="00D36D78" w:rsidP="00D36D78">
            <w:pPr>
              <w:contextualSpacing/>
              <w:jc w:val="center"/>
              <w:rPr>
                <w:color w:val="000000"/>
                <w:sz w:val="20"/>
                <w:szCs w:val="20"/>
              </w:rPr>
            </w:pPr>
            <w:r>
              <w:rPr>
                <w:color w:val="000000"/>
                <w:sz w:val="20"/>
                <w:szCs w:val="20"/>
              </w:rPr>
              <w:t>естественное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2.9</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Распознавание ротора</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proofErr w:type="gramStart"/>
            <w:r>
              <w:rPr>
                <w:color w:val="000000"/>
                <w:sz w:val="20"/>
                <w:szCs w:val="20"/>
              </w:rPr>
              <w:t>автоматическое</w:t>
            </w:r>
            <w:proofErr w:type="gramEnd"/>
            <w:r>
              <w:rPr>
                <w:color w:val="000000"/>
                <w:sz w:val="20"/>
                <w:szCs w:val="20"/>
              </w:rPr>
              <w:t>, с ограничением максимальной скорости для установленного ротора</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2.10</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 xml:space="preserve">Регулирование тормозного усилия </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менее 2 ступеней</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2.11</w:t>
            </w:r>
          </w:p>
        </w:tc>
        <w:tc>
          <w:tcPr>
            <w:tcW w:w="1267" w:type="pct"/>
            <w:gridSpan w:val="2"/>
            <w:shd w:val="clear" w:color="auto" w:fill="auto"/>
            <w:vAlign w:val="center"/>
            <w:hideMark/>
          </w:tcPr>
          <w:p w:rsidR="00D36D78" w:rsidRPr="00670A99" w:rsidRDefault="00D36D78" w:rsidP="00BE0EC2">
            <w:pPr>
              <w:contextualSpacing/>
              <w:rPr>
                <w:color w:val="000000"/>
                <w:sz w:val="20"/>
                <w:szCs w:val="20"/>
              </w:rPr>
            </w:pPr>
            <w:r>
              <w:rPr>
                <w:color w:val="000000"/>
                <w:sz w:val="20"/>
                <w:szCs w:val="20"/>
              </w:rPr>
              <w:t>Время разгона до максимальной скорости при полной загрузке, сек.</w:t>
            </w:r>
          </w:p>
        </w:tc>
        <w:tc>
          <w:tcPr>
            <w:tcW w:w="1608" w:type="pct"/>
            <w:shd w:val="clear" w:color="auto" w:fill="auto"/>
            <w:vAlign w:val="center"/>
            <w:hideMark/>
          </w:tcPr>
          <w:p w:rsidR="00D36D78" w:rsidRPr="00670A99" w:rsidRDefault="00D36D78" w:rsidP="00D36D78">
            <w:pPr>
              <w:contextualSpacing/>
              <w:jc w:val="center"/>
              <w:rPr>
                <w:color w:val="000000"/>
                <w:sz w:val="20"/>
                <w:szCs w:val="20"/>
              </w:rPr>
            </w:pPr>
            <w:r>
              <w:rPr>
                <w:color w:val="000000"/>
                <w:sz w:val="20"/>
                <w:szCs w:val="20"/>
              </w:rPr>
              <w:t>не более 36</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2.12</w:t>
            </w:r>
          </w:p>
        </w:tc>
        <w:tc>
          <w:tcPr>
            <w:tcW w:w="1267" w:type="pct"/>
            <w:gridSpan w:val="2"/>
            <w:shd w:val="clear" w:color="auto" w:fill="auto"/>
            <w:vAlign w:val="center"/>
            <w:hideMark/>
          </w:tcPr>
          <w:p w:rsidR="00D36D78" w:rsidRPr="00794087" w:rsidRDefault="00D36D78" w:rsidP="00BE0EC2">
            <w:pPr>
              <w:contextualSpacing/>
              <w:rPr>
                <w:color w:val="000000"/>
                <w:sz w:val="20"/>
                <w:szCs w:val="20"/>
              </w:rPr>
            </w:pPr>
            <w:r w:rsidRPr="00794087">
              <w:rPr>
                <w:color w:val="000000"/>
                <w:sz w:val="20"/>
                <w:szCs w:val="20"/>
              </w:rPr>
              <w:t>Время торможения от максимальной скорости при полной загрузке</w:t>
            </w:r>
            <w:r>
              <w:rPr>
                <w:color w:val="000000"/>
                <w:sz w:val="20"/>
                <w:szCs w:val="20"/>
              </w:rPr>
              <w:t>, сек.</w:t>
            </w:r>
          </w:p>
        </w:tc>
        <w:tc>
          <w:tcPr>
            <w:tcW w:w="1608" w:type="pct"/>
            <w:shd w:val="clear" w:color="auto" w:fill="auto"/>
            <w:vAlign w:val="center"/>
            <w:hideMark/>
          </w:tcPr>
          <w:p w:rsidR="00D36D78" w:rsidRPr="00794087" w:rsidRDefault="00D36D78" w:rsidP="00D36D78">
            <w:pPr>
              <w:contextualSpacing/>
              <w:jc w:val="center"/>
              <w:rPr>
                <w:color w:val="000000"/>
                <w:sz w:val="20"/>
                <w:szCs w:val="20"/>
              </w:rPr>
            </w:pPr>
            <w:r w:rsidRPr="00794087">
              <w:rPr>
                <w:color w:val="000000"/>
                <w:sz w:val="20"/>
                <w:szCs w:val="20"/>
              </w:rPr>
              <w:t>не более 43</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2.13</w:t>
            </w:r>
          </w:p>
        </w:tc>
        <w:tc>
          <w:tcPr>
            <w:tcW w:w="1267" w:type="pct"/>
            <w:gridSpan w:val="2"/>
            <w:shd w:val="clear" w:color="auto" w:fill="auto"/>
            <w:vAlign w:val="center"/>
            <w:hideMark/>
          </w:tcPr>
          <w:p w:rsidR="00D36D78" w:rsidRPr="00794087" w:rsidRDefault="00D36D78" w:rsidP="00BE0EC2">
            <w:pPr>
              <w:contextualSpacing/>
              <w:rPr>
                <w:color w:val="000000"/>
                <w:sz w:val="20"/>
                <w:szCs w:val="20"/>
              </w:rPr>
            </w:pPr>
            <w:r w:rsidRPr="00794087">
              <w:rPr>
                <w:color w:val="000000"/>
                <w:sz w:val="20"/>
                <w:szCs w:val="20"/>
              </w:rPr>
              <w:t>Блокировка крышки</w:t>
            </w:r>
          </w:p>
        </w:tc>
        <w:tc>
          <w:tcPr>
            <w:tcW w:w="1608" w:type="pct"/>
            <w:shd w:val="clear" w:color="auto" w:fill="auto"/>
            <w:vAlign w:val="center"/>
            <w:hideMark/>
          </w:tcPr>
          <w:p w:rsidR="00D36D78" w:rsidRPr="00794087" w:rsidRDefault="00D36D78" w:rsidP="00D36D78">
            <w:pPr>
              <w:contextualSpacing/>
              <w:jc w:val="center"/>
              <w:rPr>
                <w:color w:val="000000"/>
                <w:sz w:val="20"/>
                <w:szCs w:val="20"/>
              </w:rPr>
            </w:pPr>
            <w:r w:rsidRPr="00794087">
              <w:rPr>
                <w:color w:val="000000"/>
                <w:sz w:val="20"/>
                <w:szCs w:val="20"/>
              </w:rPr>
              <w:t>механический замок + электромагнитный блокиратор</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2.14</w:t>
            </w:r>
          </w:p>
        </w:tc>
        <w:tc>
          <w:tcPr>
            <w:tcW w:w="1267" w:type="pct"/>
            <w:gridSpan w:val="2"/>
            <w:shd w:val="clear" w:color="auto" w:fill="auto"/>
            <w:vAlign w:val="center"/>
            <w:hideMark/>
          </w:tcPr>
          <w:p w:rsidR="00D36D78" w:rsidRPr="00794087" w:rsidRDefault="00D36D78" w:rsidP="00BE0EC2">
            <w:pPr>
              <w:contextualSpacing/>
              <w:rPr>
                <w:color w:val="000000"/>
                <w:sz w:val="20"/>
                <w:szCs w:val="20"/>
              </w:rPr>
            </w:pPr>
            <w:r w:rsidRPr="00794087">
              <w:rPr>
                <w:color w:val="000000"/>
                <w:sz w:val="20"/>
                <w:szCs w:val="20"/>
              </w:rPr>
              <w:t>Индикатор закрытия крышки</w:t>
            </w:r>
          </w:p>
        </w:tc>
        <w:tc>
          <w:tcPr>
            <w:tcW w:w="1608" w:type="pct"/>
            <w:shd w:val="clear" w:color="auto" w:fill="auto"/>
            <w:vAlign w:val="center"/>
            <w:hideMark/>
          </w:tcPr>
          <w:p w:rsidR="00D36D78" w:rsidRPr="00794087" w:rsidRDefault="00D36D78" w:rsidP="00D36D78">
            <w:pPr>
              <w:contextualSpacing/>
              <w:jc w:val="center"/>
              <w:rPr>
                <w:color w:val="000000"/>
                <w:sz w:val="20"/>
                <w:szCs w:val="20"/>
              </w:rPr>
            </w:pPr>
            <w:r>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2.15</w:t>
            </w:r>
          </w:p>
        </w:tc>
        <w:tc>
          <w:tcPr>
            <w:tcW w:w="1267" w:type="pct"/>
            <w:gridSpan w:val="2"/>
            <w:shd w:val="clear" w:color="auto" w:fill="auto"/>
            <w:vAlign w:val="center"/>
            <w:hideMark/>
          </w:tcPr>
          <w:p w:rsidR="00D36D78" w:rsidRPr="00794087" w:rsidRDefault="00D36D78" w:rsidP="00BE0EC2">
            <w:pPr>
              <w:contextualSpacing/>
              <w:rPr>
                <w:color w:val="000000"/>
                <w:sz w:val="20"/>
                <w:szCs w:val="20"/>
              </w:rPr>
            </w:pPr>
            <w:r w:rsidRPr="00794087">
              <w:rPr>
                <w:color w:val="000000"/>
                <w:sz w:val="20"/>
                <w:szCs w:val="20"/>
              </w:rPr>
              <w:t xml:space="preserve">Индикация режима на дисплее </w:t>
            </w:r>
          </w:p>
        </w:tc>
        <w:tc>
          <w:tcPr>
            <w:tcW w:w="1608" w:type="pct"/>
            <w:shd w:val="clear" w:color="auto" w:fill="auto"/>
            <w:vAlign w:val="center"/>
            <w:hideMark/>
          </w:tcPr>
          <w:p w:rsidR="00D36D78" w:rsidRPr="00794087" w:rsidRDefault="00D36D78" w:rsidP="00D36D78">
            <w:pPr>
              <w:contextualSpacing/>
              <w:jc w:val="center"/>
              <w:rPr>
                <w:color w:val="000000"/>
                <w:sz w:val="20"/>
                <w:szCs w:val="20"/>
              </w:rPr>
            </w:pPr>
            <w:proofErr w:type="gramStart"/>
            <w:r w:rsidRPr="00794087">
              <w:rPr>
                <w:color w:val="000000"/>
                <w:sz w:val="20"/>
                <w:szCs w:val="20"/>
              </w:rPr>
              <w:t>об</w:t>
            </w:r>
            <w:proofErr w:type="gramEnd"/>
            <w:r w:rsidRPr="00794087">
              <w:rPr>
                <w:color w:val="000000"/>
                <w:sz w:val="20"/>
                <w:szCs w:val="20"/>
              </w:rPr>
              <w:t>/</w:t>
            </w:r>
            <w:proofErr w:type="gramStart"/>
            <w:r w:rsidRPr="00794087">
              <w:rPr>
                <w:color w:val="000000"/>
                <w:sz w:val="20"/>
                <w:szCs w:val="20"/>
              </w:rPr>
              <w:t>мин</w:t>
            </w:r>
            <w:proofErr w:type="gramEnd"/>
            <w:r w:rsidRPr="00794087">
              <w:rPr>
                <w:color w:val="000000"/>
                <w:sz w:val="20"/>
                <w:szCs w:val="20"/>
              </w:rPr>
              <w:t>,</w:t>
            </w:r>
            <w:r>
              <w:rPr>
                <w:color w:val="000000"/>
                <w:sz w:val="20"/>
                <w:szCs w:val="20"/>
              </w:rPr>
              <w:t xml:space="preserve"> </w:t>
            </w:r>
            <w:r w:rsidRPr="00794087">
              <w:rPr>
                <w:color w:val="000000"/>
                <w:sz w:val="20"/>
                <w:szCs w:val="20"/>
              </w:rPr>
              <w:t>RCF, возможно</w:t>
            </w:r>
            <w:r>
              <w:rPr>
                <w:color w:val="000000"/>
                <w:sz w:val="20"/>
                <w:szCs w:val="20"/>
              </w:rPr>
              <w:t>сть</w:t>
            </w:r>
            <w:r w:rsidRPr="00794087">
              <w:rPr>
                <w:color w:val="000000"/>
                <w:sz w:val="20"/>
                <w:szCs w:val="20"/>
              </w:rPr>
              <w:t xml:space="preserve"> переключени</w:t>
            </w:r>
            <w:r>
              <w:rPr>
                <w:color w:val="000000"/>
                <w:sz w:val="20"/>
                <w:szCs w:val="20"/>
              </w:rPr>
              <w:t>я</w:t>
            </w:r>
            <w:r w:rsidRPr="00794087">
              <w:rPr>
                <w:color w:val="000000"/>
                <w:sz w:val="20"/>
                <w:szCs w:val="20"/>
              </w:rPr>
              <w:t xml:space="preserve"> во время работы</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2.16</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Детектор дисбаланса</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2.17</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Pr>
                <w:color w:val="000000"/>
                <w:sz w:val="20"/>
                <w:szCs w:val="20"/>
              </w:rPr>
              <w:t>Клавиатура</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Pr>
                <w:color w:val="000000"/>
                <w:sz w:val="20"/>
                <w:szCs w:val="20"/>
              </w:rPr>
              <w:t>пылевлагозащитная</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2.18</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Возможность установки сменных горизонтальных роторов</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2.19</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Возможность установки сменных угловых роторов</w:t>
            </w:r>
            <w:r w:rsidRPr="00316266">
              <w:rPr>
                <w:color w:val="000000"/>
                <w:sz w:val="20"/>
                <w:szCs w:val="20"/>
              </w:rPr>
              <w:tab/>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2.20</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 xml:space="preserve">Возможность установки </w:t>
            </w:r>
            <w:proofErr w:type="gramStart"/>
            <w:r w:rsidRPr="00316266">
              <w:rPr>
                <w:color w:val="000000"/>
                <w:sz w:val="20"/>
                <w:szCs w:val="20"/>
              </w:rPr>
              <w:t>специальных</w:t>
            </w:r>
            <w:proofErr w:type="gramEnd"/>
            <w:r w:rsidRPr="00316266">
              <w:rPr>
                <w:color w:val="000000"/>
                <w:sz w:val="20"/>
                <w:szCs w:val="20"/>
              </w:rPr>
              <w:t xml:space="preserve"> </w:t>
            </w:r>
            <w:proofErr w:type="spellStart"/>
            <w:r w:rsidRPr="00316266">
              <w:rPr>
                <w:color w:val="000000"/>
                <w:sz w:val="20"/>
                <w:szCs w:val="20"/>
              </w:rPr>
              <w:t>цито-роторов</w:t>
            </w:r>
            <w:proofErr w:type="spellEnd"/>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2.21</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Возможность центрифугирования пробирок для «закрытого» метода взятия крови различного размера и объема</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2.22</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Возможность центрифугирования пробирок большого объема</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2.23</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 xml:space="preserve">Возможность центрифугирования конических пробирок типа </w:t>
            </w:r>
            <w:proofErr w:type="spellStart"/>
            <w:r w:rsidRPr="00316266">
              <w:rPr>
                <w:color w:val="000000"/>
                <w:sz w:val="20"/>
                <w:szCs w:val="20"/>
              </w:rPr>
              <w:t>Falcon</w:t>
            </w:r>
            <w:proofErr w:type="spellEnd"/>
            <w:r w:rsidRPr="00316266">
              <w:rPr>
                <w:color w:val="000000"/>
                <w:sz w:val="20"/>
                <w:szCs w:val="20"/>
              </w:rPr>
              <w:t xml:space="preserve"> разного объема</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2.24</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Возможность центрифугирования хромовых ванночек</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наличие</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2.25</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proofErr w:type="spellStart"/>
            <w:r w:rsidRPr="00316266">
              <w:rPr>
                <w:color w:val="000000"/>
                <w:sz w:val="20"/>
                <w:szCs w:val="20"/>
              </w:rPr>
              <w:t>Возможностьцентрифугирования</w:t>
            </w:r>
            <w:proofErr w:type="spellEnd"/>
            <w:r w:rsidRPr="00316266">
              <w:rPr>
                <w:color w:val="000000"/>
                <w:sz w:val="20"/>
                <w:szCs w:val="20"/>
              </w:rPr>
              <w:t xml:space="preserve"> </w:t>
            </w:r>
            <w:proofErr w:type="spellStart"/>
            <w:r w:rsidRPr="00316266">
              <w:rPr>
                <w:color w:val="000000"/>
                <w:sz w:val="20"/>
                <w:szCs w:val="20"/>
              </w:rPr>
              <w:t>цито-аксессуаров</w:t>
            </w:r>
            <w:proofErr w:type="spellEnd"/>
            <w:r w:rsidRPr="00316266">
              <w:rPr>
                <w:color w:val="000000"/>
                <w:sz w:val="20"/>
                <w:szCs w:val="20"/>
              </w:rPr>
              <w:t xml:space="preserve"> для изготовления </w:t>
            </w:r>
            <w:proofErr w:type="spellStart"/>
            <w:r w:rsidRPr="00316266">
              <w:rPr>
                <w:color w:val="000000"/>
                <w:sz w:val="20"/>
                <w:szCs w:val="20"/>
              </w:rPr>
              <w:t>цито-препаратов</w:t>
            </w:r>
            <w:proofErr w:type="spellEnd"/>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sidRPr="00316266">
              <w:rPr>
                <w:color w:val="000000"/>
                <w:sz w:val="20"/>
                <w:szCs w:val="20"/>
              </w:rPr>
              <w:t xml:space="preserve">на «базовом» горизонтальном и специальных </w:t>
            </w:r>
            <w:proofErr w:type="spellStart"/>
            <w:r w:rsidRPr="00316266">
              <w:rPr>
                <w:color w:val="000000"/>
                <w:sz w:val="20"/>
                <w:szCs w:val="20"/>
              </w:rPr>
              <w:t>цито-роторах</w:t>
            </w:r>
            <w:proofErr w:type="spellEnd"/>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265" w:type="pct"/>
            <w:vAlign w:val="center"/>
          </w:tcPr>
          <w:p w:rsidR="00D36D78" w:rsidRDefault="00D36D78" w:rsidP="00BE0EC2">
            <w:pPr>
              <w:contextualSpacing/>
              <w:jc w:val="center"/>
              <w:rPr>
                <w:color w:val="000000"/>
                <w:sz w:val="20"/>
                <w:szCs w:val="20"/>
              </w:rPr>
            </w:pPr>
            <w:r>
              <w:rPr>
                <w:color w:val="000000"/>
                <w:sz w:val="20"/>
                <w:szCs w:val="20"/>
              </w:rPr>
              <w:t>2.26</w:t>
            </w:r>
          </w:p>
        </w:tc>
        <w:tc>
          <w:tcPr>
            <w:tcW w:w="1267" w:type="pct"/>
            <w:gridSpan w:val="2"/>
            <w:shd w:val="clear" w:color="auto" w:fill="auto"/>
            <w:vAlign w:val="center"/>
            <w:hideMark/>
          </w:tcPr>
          <w:p w:rsidR="00D36D78" w:rsidRPr="00316266" w:rsidRDefault="00D36D78" w:rsidP="00BE0EC2">
            <w:pPr>
              <w:contextualSpacing/>
              <w:rPr>
                <w:color w:val="000000"/>
                <w:sz w:val="20"/>
                <w:szCs w:val="20"/>
              </w:rPr>
            </w:pPr>
            <w:r w:rsidRPr="00316266">
              <w:rPr>
                <w:color w:val="000000"/>
                <w:sz w:val="20"/>
                <w:szCs w:val="20"/>
              </w:rPr>
              <w:t>Уровен</w:t>
            </w:r>
            <w:r>
              <w:rPr>
                <w:color w:val="000000"/>
                <w:sz w:val="20"/>
                <w:szCs w:val="20"/>
              </w:rPr>
              <w:t>ь акустического шума при работе, дБ</w:t>
            </w:r>
          </w:p>
        </w:tc>
        <w:tc>
          <w:tcPr>
            <w:tcW w:w="1608" w:type="pct"/>
            <w:shd w:val="clear" w:color="auto" w:fill="auto"/>
            <w:vAlign w:val="center"/>
            <w:hideMark/>
          </w:tcPr>
          <w:p w:rsidR="00D36D78" w:rsidRPr="00316266" w:rsidRDefault="00D36D78" w:rsidP="00D36D78">
            <w:pPr>
              <w:contextualSpacing/>
              <w:jc w:val="center"/>
              <w:rPr>
                <w:color w:val="000000"/>
                <w:sz w:val="20"/>
                <w:szCs w:val="20"/>
              </w:rPr>
            </w:pPr>
            <w:r>
              <w:rPr>
                <w:color w:val="000000"/>
                <w:sz w:val="20"/>
                <w:szCs w:val="20"/>
              </w:rPr>
              <w:t xml:space="preserve">не более </w:t>
            </w:r>
            <w:r w:rsidRPr="00316266">
              <w:rPr>
                <w:color w:val="000000"/>
                <w:sz w:val="20"/>
                <w:szCs w:val="20"/>
              </w:rPr>
              <w:t>57</w:t>
            </w:r>
          </w:p>
        </w:tc>
        <w:tc>
          <w:tcPr>
            <w:tcW w:w="357" w:type="pct"/>
            <w:vMerge/>
          </w:tcPr>
          <w:p w:rsidR="00D36D78" w:rsidRPr="00570C30" w:rsidRDefault="00D36D78" w:rsidP="00BE0EC2">
            <w:pPr>
              <w:contextualSpacing/>
              <w:jc w:val="both"/>
              <w:rPr>
                <w:color w:val="000000"/>
                <w:sz w:val="22"/>
                <w:szCs w:val="22"/>
              </w:rPr>
            </w:pPr>
          </w:p>
        </w:tc>
        <w:tc>
          <w:tcPr>
            <w:tcW w:w="578" w:type="pct"/>
            <w:vMerge/>
          </w:tcPr>
          <w:p w:rsidR="00D36D78" w:rsidRPr="00570C30" w:rsidRDefault="00D36D78" w:rsidP="00BE0EC2">
            <w:pPr>
              <w:contextualSpacing/>
              <w:jc w:val="both"/>
              <w:rPr>
                <w:color w:val="000000"/>
                <w:sz w:val="22"/>
                <w:szCs w:val="22"/>
              </w:rPr>
            </w:pPr>
          </w:p>
        </w:tc>
      </w:tr>
      <w:tr w:rsidR="00D36D78" w:rsidRPr="00570C30" w:rsidTr="00D36D78">
        <w:trPr>
          <w:trHeight w:val="411"/>
        </w:trPr>
        <w:tc>
          <w:tcPr>
            <w:tcW w:w="199" w:type="pct"/>
            <w:vMerge/>
          </w:tcPr>
          <w:p w:rsidR="00D36D78" w:rsidRPr="00570C30" w:rsidRDefault="00D36D78" w:rsidP="00BE0EC2">
            <w:pPr>
              <w:rPr>
                <w:sz w:val="22"/>
                <w:szCs w:val="22"/>
              </w:rPr>
            </w:pPr>
          </w:p>
        </w:tc>
        <w:tc>
          <w:tcPr>
            <w:tcW w:w="726" w:type="pct"/>
            <w:vMerge/>
          </w:tcPr>
          <w:p w:rsidR="00D36D78" w:rsidRPr="00570C30" w:rsidRDefault="00D36D78" w:rsidP="00BE0EC2">
            <w:pPr>
              <w:rPr>
                <w:sz w:val="22"/>
                <w:szCs w:val="22"/>
              </w:rPr>
            </w:pPr>
          </w:p>
        </w:tc>
        <w:tc>
          <w:tcPr>
            <w:tcW w:w="3140" w:type="pct"/>
            <w:gridSpan w:val="4"/>
            <w:vAlign w:val="center"/>
          </w:tcPr>
          <w:p w:rsidR="00D36D78" w:rsidRPr="00577A4C" w:rsidRDefault="00D36D78" w:rsidP="009379C8">
            <w:pPr>
              <w:pStyle w:val="afd"/>
              <w:numPr>
                <w:ilvl w:val="0"/>
                <w:numId w:val="32"/>
              </w:numPr>
              <w:jc w:val="center"/>
              <w:rPr>
                <w:color w:val="000000"/>
                <w:sz w:val="20"/>
                <w:szCs w:val="20"/>
              </w:rPr>
            </w:pPr>
            <w:r w:rsidRPr="00577A4C">
              <w:rPr>
                <w:color w:val="000000"/>
                <w:sz w:val="20"/>
                <w:szCs w:val="20"/>
              </w:rPr>
              <w:t>Комплект поставки</w:t>
            </w:r>
          </w:p>
        </w:tc>
        <w:tc>
          <w:tcPr>
            <w:tcW w:w="357" w:type="pct"/>
            <w:vMerge/>
          </w:tcPr>
          <w:p w:rsidR="00D36D78" w:rsidRPr="00570C30" w:rsidRDefault="00D36D78" w:rsidP="00BE0EC2">
            <w:pPr>
              <w:contextualSpacing/>
              <w:jc w:val="center"/>
              <w:rPr>
                <w:color w:val="000000"/>
                <w:sz w:val="20"/>
                <w:szCs w:val="20"/>
              </w:rPr>
            </w:pPr>
          </w:p>
        </w:tc>
        <w:tc>
          <w:tcPr>
            <w:tcW w:w="578" w:type="pct"/>
            <w:vMerge/>
          </w:tcPr>
          <w:p w:rsidR="00D36D78" w:rsidRPr="00570C30" w:rsidRDefault="00D36D78"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3.1</w:t>
            </w:r>
          </w:p>
        </w:tc>
        <w:tc>
          <w:tcPr>
            <w:tcW w:w="1267" w:type="pct"/>
            <w:gridSpan w:val="2"/>
            <w:shd w:val="clear" w:color="auto" w:fill="auto"/>
            <w:vAlign w:val="center"/>
            <w:hideMark/>
          </w:tcPr>
          <w:p w:rsidR="006A15D1" w:rsidRPr="00DC17FF" w:rsidRDefault="006A15D1" w:rsidP="00BE0EC2">
            <w:pPr>
              <w:contextualSpacing/>
              <w:rPr>
                <w:color w:val="000000"/>
                <w:sz w:val="20"/>
                <w:szCs w:val="20"/>
              </w:rPr>
            </w:pPr>
            <w:r>
              <w:rPr>
                <w:color w:val="000000"/>
                <w:sz w:val="20"/>
                <w:szCs w:val="20"/>
              </w:rPr>
              <w:t>Центрифуга лабораторная, шт.</w:t>
            </w:r>
          </w:p>
        </w:tc>
        <w:tc>
          <w:tcPr>
            <w:tcW w:w="1608" w:type="pct"/>
            <w:shd w:val="clear" w:color="auto" w:fill="auto"/>
            <w:vAlign w:val="center"/>
            <w:hideMark/>
          </w:tcPr>
          <w:p w:rsidR="006A15D1" w:rsidRPr="00DC17FF" w:rsidRDefault="006A15D1" w:rsidP="00BE0EC2">
            <w:pPr>
              <w:contextualSpacing/>
              <w:jc w:val="center"/>
              <w:rPr>
                <w:color w:val="000000"/>
                <w:sz w:val="20"/>
                <w:szCs w:val="20"/>
              </w:rPr>
            </w:pPr>
            <w:r>
              <w:rPr>
                <w:color w:val="000000"/>
                <w:sz w:val="20"/>
                <w:szCs w:val="20"/>
              </w:rPr>
              <w:t>1</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3.2</w:t>
            </w:r>
          </w:p>
        </w:tc>
        <w:tc>
          <w:tcPr>
            <w:tcW w:w="1267" w:type="pct"/>
            <w:gridSpan w:val="2"/>
            <w:shd w:val="clear" w:color="auto" w:fill="auto"/>
            <w:vAlign w:val="center"/>
            <w:hideMark/>
          </w:tcPr>
          <w:p w:rsidR="006A15D1" w:rsidRPr="00DC17FF" w:rsidRDefault="006A15D1" w:rsidP="00BE0EC2">
            <w:pPr>
              <w:contextualSpacing/>
              <w:rPr>
                <w:color w:val="000000"/>
                <w:sz w:val="20"/>
                <w:szCs w:val="20"/>
              </w:rPr>
            </w:pPr>
            <w:r>
              <w:rPr>
                <w:color w:val="000000"/>
                <w:sz w:val="20"/>
                <w:szCs w:val="20"/>
              </w:rPr>
              <w:t>Ротор горизонтальный 4-местный, шт.</w:t>
            </w:r>
          </w:p>
        </w:tc>
        <w:tc>
          <w:tcPr>
            <w:tcW w:w="1608" w:type="pct"/>
            <w:shd w:val="clear" w:color="auto" w:fill="auto"/>
            <w:vAlign w:val="center"/>
            <w:hideMark/>
          </w:tcPr>
          <w:p w:rsidR="006A15D1" w:rsidRPr="00DC17FF" w:rsidRDefault="006A15D1" w:rsidP="00BE0EC2">
            <w:pPr>
              <w:jc w:val="center"/>
              <w:rPr>
                <w:color w:val="000000"/>
                <w:sz w:val="20"/>
                <w:szCs w:val="20"/>
              </w:rPr>
            </w:pPr>
            <w:r>
              <w:rPr>
                <w:color w:val="000000"/>
                <w:sz w:val="20"/>
                <w:szCs w:val="20"/>
              </w:rPr>
              <w:t>1</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3.3</w:t>
            </w:r>
          </w:p>
        </w:tc>
        <w:tc>
          <w:tcPr>
            <w:tcW w:w="1267" w:type="pct"/>
            <w:gridSpan w:val="2"/>
            <w:shd w:val="clear" w:color="auto" w:fill="auto"/>
            <w:vAlign w:val="center"/>
            <w:hideMark/>
          </w:tcPr>
          <w:p w:rsidR="006A15D1" w:rsidRPr="00DC17FF" w:rsidRDefault="006A15D1" w:rsidP="00BE0EC2">
            <w:pPr>
              <w:contextualSpacing/>
              <w:rPr>
                <w:color w:val="000000"/>
                <w:sz w:val="20"/>
                <w:szCs w:val="20"/>
              </w:rPr>
            </w:pPr>
            <w:proofErr w:type="spellStart"/>
            <w:r>
              <w:rPr>
                <w:color w:val="000000"/>
                <w:sz w:val="20"/>
                <w:szCs w:val="20"/>
              </w:rPr>
              <w:t>Бакет-подвеска</w:t>
            </w:r>
            <w:proofErr w:type="spellEnd"/>
            <w:r>
              <w:rPr>
                <w:color w:val="000000"/>
                <w:sz w:val="20"/>
                <w:szCs w:val="20"/>
              </w:rPr>
              <w:t>, шт.</w:t>
            </w:r>
          </w:p>
        </w:tc>
        <w:tc>
          <w:tcPr>
            <w:tcW w:w="1608" w:type="pct"/>
            <w:shd w:val="clear" w:color="auto" w:fill="auto"/>
            <w:vAlign w:val="center"/>
            <w:hideMark/>
          </w:tcPr>
          <w:p w:rsidR="006A15D1" w:rsidRPr="00DC17FF" w:rsidRDefault="006A15D1" w:rsidP="00BE0EC2">
            <w:pPr>
              <w:jc w:val="center"/>
              <w:rPr>
                <w:color w:val="000000"/>
                <w:sz w:val="20"/>
                <w:szCs w:val="20"/>
              </w:rPr>
            </w:pPr>
            <w:r>
              <w:rPr>
                <w:color w:val="000000"/>
                <w:sz w:val="20"/>
                <w:szCs w:val="20"/>
              </w:rPr>
              <w:t>не менее 4</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3.4</w:t>
            </w:r>
          </w:p>
        </w:tc>
        <w:tc>
          <w:tcPr>
            <w:tcW w:w="1267" w:type="pct"/>
            <w:gridSpan w:val="2"/>
            <w:shd w:val="clear" w:color="auto" w:fill="auto"/>
            <w:vAlign w:val="center"/>
            <w:hideMark/>
          </w:tcPr>
          <w:p w:rsidR="006A15D1" w:rsidRPr="00DC17FF" w:rsidRDefault="006A15D1" w:rsidP="00BE0EC2">
            <w:pPr>
              <w:contextualSpacing/>
              <w:rPr>
                <w:color w:val="000000"/>
                <w:sz w:val="20"/>
                <w:szCs w:val="20"/>
              </w:rPr>
            </w:pPr>
            <w:r>
              <w:rPr>
                <w:color w:val="000000"/>
                <w:sz w:val="20"/>
                <w:szCs w:val="20"/>
              </w:rPr>
              <w:t>Вставки резиновые в подвеску для пробирок, шт.</w:t>
            </w:r>
          </w:p>
        </w:tc>
        <w:tc>
          <w:tcPr>
            <w:tcW w:w="1608" w:type="pct"/>
            <w:shd w:val="clear" w:color="auto" w:fill="auto"/>
            <w:vAlign w:val="center"/>
            <w:hideMark/>
          </w:tcPr>
          <w:p w:rsidR="006A15D1" w:rsidRPr="00DC17FF" w:rsidRDefault="006A15D1" w:rsidP="00BE0EC2">
            <w:pPr>
              <w:jc w:val="center"/>
              <w:rPr>
                <w:color w:val="000000"/>
                <w:sz w:val="20"/>
                <w:szCs w:val="20"/>
              </w:rPr>
            </w:pPr>
            <w:r>
              <w:rPr>
                <w:color w:val="000000"/>
                <w:sz w:val="20"/>
                <w:szCs w:val="20"/>
              </w:rPr>
              <w:t>не менее 28</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3.5</w:t>
            </w:r>
          </w:p>
        </w:tc>
        <w:tc>
          <w:tcPr>
            <w:tcW w:w="1267" w:type="pct"/>
            <w:gridSpan w:val="2"/>
            <w:shd w:val="clear" w:color="auto" w:fill="auto"/>
            <w:vAlign w:val="center"/>
            <w:hideMark/>
          </w:tcPr>
          <w:p w:rsidR="006A15D1" w:rsidRPr="00493D56" w:rsidRDefault="0043678E" w:rsidP="0043678E">
            <w:pPr>
              <w:rPr>
                <w:color w:val="000000"/>
                <w:sz w:val="20"/>
                <w:szCs w:val="20"/>
              </w:rPr>
            </w:pPr>
            <w:r>
              <w:rPr>
                <w:color w:val="000000"/>
                <w:sz w:val="20"/>
                <w:szCs w:val="20"/>
              </w:rPr>
              <w:t>Копия ре</w:t>
            </w:r>
            <w:r w:rsidR="006A15D1">
              <w:rPr>
                <w:color w:val="000000"/>
                <w:sz w:val="20"/>
                <w:szCs w:val="20"/>
              </w:rPr>
              <w:t>гистрационно</w:t>
            </w:r>
            <w:r>
              <w:rPr>
                <w:color w:val="000000"/>
                <w:sz w:val="20"/>
                <w:szCs w:val="20"/>
              </w:rPr>
              <w:t xml:space="preserve">го </w:t>
            </w:r>
            <w:r w:rsidR="006A15D1">
              <w:rPr>
                <w:color w:val="000000"/>
                <w:sz w:val="20"/>
                <w:szCs w:val="20"/>
              </w:rPr>
              <w:t>удостоверени</w:t>
            </w:r>
            <w:r>
              <w:rPr>
                <w:color w:val="000000"/>
                <w:sz w:val="20"/>
                <w:szCs w:val="20"/>
              </w:rPr>
              <w:t>я, 1 экз.</w:t>
            </w:r>
          </w:p>
        </w:tc>
        <w:tc>
          <w:tcPr>
            <w:tcW w:w="1608" w:type="pct"/>
            <w:shd w:val="clear" w:color="auto" w:fill="auto"/>
            <w:vAlign w:val="center"/>
            <w:hideMark/>
          </w:tcPr>
          <w:p w:rsidR="006A15D1" w:rsidRPr="00493D56" w:rsidRDefault="0043678E" w:rsidP="00BE0EC2">
            <w:pPr>
              <w:contextualSpacing/>
              <w:jc w:val="center"/>
              <w:rPr>
                <w:color w:val="000000"/>
                <w:sz w:val="20"/>
                <w:szCs w:val="20"/>
              </w:rPr>
            </w:pPr>
            <w:r>
              <w:rPr>
                <w:color w:val="000000"/>
                <w:sz w:val="20"/>
                <w:szCs w:val="20"/>
              </w:rPr>
              <w:t>1</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contextualSpacing/>
              <w:jc w:val="center"/>
              <w:rPr>
                <w:color w:val="000000"/>
                <w:sz w:val="20"/>
                <w:szCs w:val="20"/>
              </w:rPr>
            </w:pPr>
            <w:r>
              <w:rPr>
                <w:color w:val="000000"/>
                <w:sz w:val="20"/>
                <w:szCs w:val="20"/>
              </w:rPr>
              <w:t>3.6</w:t>
            </w:r>
          </w:p>
        </w:tc>
        <w:tc>
          <w:tcPr>
            <w:tcW w:w="1267" w:type="pct"/>
            <w:gridSpan w:val="2"/>
            <w:shd w:val="clear" w:color="auto" w:fill="auto"/>
            <w:vAlign w:val="center"/>
            <w:hideMark/>
          </w:tcPr>
          <w:p w:rsidR="006A15D1" w:rsidRPr="00493D56" w:rsidRDefault="0043678E" w:rsidP="0043678E">
            <w:pPr>
              <w:rPr>
                <w:color w:val="000000"/>
                <w:sz w:val="20"/>
                <w:szCs w:val="20"/>
              </w:rPr>
            </w:pPr>
            <w:r>
              <w:rPr>
                <w:color w:val="000000"/>
                <w:sz w:val="20"/>
                <w:szCs w:val="20"/>
              </w:rPr>
              <w:t>Копия с</w:t>
            </w:r>
            <w:r w:rsidR="006A15D1" w:rsidRPr="00493D56">
              <w:rPr>
                <w:color w:val="000000"/>
                <w:sz w:val="20"/>
                <w:szCs w:val="20"/>
              </w:rPr>
              <w:t>ертификат</w:t>
            </w:r>
            <w:r>
              <w:rPr>
                <w:color w:val="000000"/>
                <w:sz w:val="20"/>
                <w:szCs w:val="20"/>
              </w:rPr>
              <w:t>а</w:t>
            </w:r>
            <w:r w:rsidR="006A15D1" w:rsidRPr="00493D56">
              <w:rPr>
                <w:color w:val="000000"/>
                <w:sz w:val="20"/>
                <w:szCs w:val="20"/>
              </w:rPr>
              <w:t>/ деклараци</w:t>
            </w:r>
            <w:r>
              <w:rPr>
                <w:color w:val="000000"/>
                <w:sz w:val="20"/>
                <w:szCs w:val="20"/>
              </w:rPr>
              <w:t xml:space="preserve">и </w:t>
            </w:r>
            <w:r w:rsidR="006A15D1" w:rsidRPr="00493D56">
              <w:rPr>
                <w:color w:val="000000"/>
                <w:sz w:val="20"/>
                <w:szCs w:val="20"/>
              </w:rPr>
              <w:t xml:space="preserve"> соответстви</w:t>
            </w:r>
            <w:r>
              <w:rPr>
                <w:color w:val="000000"/>
                <w:sz w:val="20"/>
                <w:szCs w:val="20"/>
              </w:rPr>
              <w:t>я, 1 экз.</w:t>
            </w:r>
          </w:p>
        </w:tc>
        <w:tc>
          <w:tcPr>
            <w:tcW w:w="1608" w:type="pct"/>
            <w:shd w:val="clear" w:color="auto" w:fill="auto"/>
            <w:vAlign w:val="center"/>
            <w:hideMark/>
          </w:tcPr>
          <w:p w:rsidR="006A15D1" w:rsidRPr="00493D56" w:rsidRDefault="0043678E" w:rsidP="00BE0EC2">
            <w:pPr>
              <w:contextualSpacing/>
              <w:jc w:val="center"/>
              <w:rPr>
                <w:color w:val="000000"/>
                <w:sz w:val="20"/>
                <w:szCs w:val="20"/>
              </w:rPr>
            </w:pPr>
            <w:r>
              <w:rPr>
                <w:color w:val="000000"/>
                <w:sz w:val="20"/>
                <w:szCs w:val="20"/>
              </w:rPr>
              <w:t>1</w:t>
            </w:r>
          </w:p>
        </w:tc>
        <w:tc>
          <w:tcPr>
            <w:tcW w:w="357" w:type="pct"/>
            <w:vMerge/>
          </w:tcPr>
          <w:p w:rsidR="006A15D1" w:rsidRPr="00570C30" w:rsidRDefault="006A15D1" w:rsidP="00BE0EC2">
            <w:pPr>
              <w:contextualSpacing/>
              <w:jc w:val="center"/>
              <w:rPr>
                <w:color w:val="000000"/>
                <w:sz w:val="20"/>
                <w:szCs w:val="20"/>
              </w:rPr>
            </w:pPr>
          </w:p>
        </w:tc>
        <w:tc>
          <w:tcPr>
            <w:tcW w:w="578" w:type="pct"/>
            <w:vMerge/>
          </w:tcPr>
          <w:p w:rsidR="006A15D1" w:rsidRPr="00570C30" w:rsidRDefault="006A15D1" w:rsidP="00BE0EC2">
            <w:pPr>
              <w:contextualSpacing/>
              <w:jc w:val="center"/>
              <w:rPr>
                <w:color w:val="000000"/>
                <w:sz w:val="20"/>
                <w:szCs w:val="20"/>
              </w:rPr>
            </w:pPr>
          </w:p>
        </w:tc>
      </w:tr>
      <w:tr w:rsidR="0043678E" w:rsidRPr="00570C30" w:rsidTr="00D36D78">
        <w:trPr>
          <w:trHeight w:val="411"/>
        </w:trPr>
        <w:tc>
          <w:tcPr>
            <w:tcW w:w="199" w:type="pct"/>
            <w:vMerge/>
          </w:tcPr>
          <w:p w:rsidR="0043678E" w:rsidRPr="00570C30" w:rsidRDefault="0043678E" w:rsidP="00BE0EC2">
            <w:pPr>
              <w:rPr>
                <w:sz w:val="22"/>
                <w:szCs w:val="22"/>
              </w:rPr>
            </w:pPr>
          </w:p>
        </w:tc>
        <w:tc>
          <w:tcPr>
            <w:tcW w:w="726" w:type="pct"/>
            <w:vMerge/>
          </w:tcPr>
          <w:p w:rsidR="0043678E" w:rsidRPr="00570C30" w:rsidRDefault="0043678E" w:rsidP="00BE0EC2">
            <w:pPr>
              <w:rPr>
                <w:sz w:val="22"/>
                <w:szCs w:val="22"/>
              </w:rPr>
            </w:pPr>
          </w:p>
        </w:tc>
        <w:tc>
          <w:tcPr>
            <w:tcW w:w="265" w:type="pct"/>
            <w:vAlign w:val="center"/>
          </w:tcPr>
          <w:p w:rsidR="0043678E" w:rsidRDefault="0043678E" w:rsidP="00BE0EC2">
            <w:pPr>
              <w:contextualSpacing/>
              <w:jc w:val="center"/>
              <w:rPr>
                <w:color w:val="000000"/>
                <w:sz w:val="20"/>
                <w:szCs w:val="20"/>
              </w:rPr>
            </w:pPr>
            <w:r>
              <w:rPr>
                <w:color w:val="000000"/>
                <w:sz w:val="20"/>
                <w:szCs w:val="20"/>
              </w:rPr>
              <w:t>3.7</w:t>
            </w:r>
          </w:p>
        </w:tc>
        <w:tc>
          <w:tcPr>
            <w:tcW w:w="1267" w:type="pct"/>
            <w:gridSpan w:val="2"/>
            <w:shd w:val="clear" w:color="auto" w:fill="auto"/>
            <w:vAlign w:val="center"/>
            <w:hideMark/>
          </w:tcPr>
          <w:p w:rsidR="0043678E" w:rsidRDefault="0043678E" w:rsidP="0043678E">
            <w:pPr>
              <w:rPr>
                <w:color w:val="000000"/>
                <w:sz w:val="20"/>
                <w:szCs w:val="20"/>
              </w:rPr>
            </w:pPr>
            <w:r>
              <w:rPr>
                <w:color w:val="000000"/>
                <w:sz w:val="20"/>
                <w:szCs w:val="20"/>
              </w:rPr>
              <w:t>Э</w:t>
            </w:r>
            <w:r w:rsidRPr="0043678E">
              <w:rPr>
                <w:color w:val="000000"/>
                <w:sz w:val="20"/>
                <w:szCs w:val="20"/>
              </w:rPr>
              <w:t>ксплуатационно-техническая документация</w:t>
            </w:r>
            <w:r>
              <w:rPr>
                <w:color w:val="000000"/>
                <w:sz w:val="20"/>
                <w:szCs w:val="20"/>
              </w:rPr>
              <w:t xml:space="preserve"> (Паспорт, инструкция на русском языке и пр.)</w:t>
            </w:r>
          </w:p>
        </w:tc>
        <w:tc>
          <w:tcPr>
            <w:tcW w:w="1608" w:type="pct"/>
            <w:shd w:val="clear" w:color="auto" w:fill="auto"/>
            <w:vAlign w:val="center"/>
            <w:hideMark/>
          </w:tcPr>
          <w:p w:rsidR="0043678E" w:rsidRDefault="0043678E" w:rsidP="00BE0EC2">
            <w:pPr>
              <w:contextualSpacing/>
              <w:jc w:val="center"/>
              <w:rPr>
                <w:color w:val="000000"/>
                <w:sz w:val="20"/>
                <w:szCs w:val="20"/>
              </w:rPr>
            </w:pPr>
            <w:r>
              <w:rPr>
                <w:color w:val="000000"/>
                <w:sz w:val="20"/>
                <w:szCs w:val="20"/>
              </w:rPr>
              <w:t>1</w:t>
            </w:r>
          </w:p>
        </w:tc>
        <w:tc>
          <w:tcPr>
            <w:tcW w:w="357" w:type="pct"/>
            <w:vMerge/>
          </w:tcPr>
          <w:p w:rsidR="0043678E" w:rsidRPr="00570C30" w:rsidRDefault="0043678E" w:rsidP="00BE0EC2">
            <w:pPr>
              <w:contextualSpacing/>
              <w:jc w:val="center"/>
              <w:rPr>
                <w:color w:val="000000"/>
                <w:sz w:val="20"/>
                <w:szCs w:val="20"/>
              </w:rPr>
            </w:pPr>
          </w:p>
        </w:tc>
        <w:tc>
          <w:tcPr>
            <w:tcW w:w="578" w:type="pct"/>
            <w:vMerge/>
          </w:tcPr>
          <w:p w:rsidR="0043678E" w:rsidRPr="00570C30" w:rsidRDefault="0043678E" w:rsidP="00BE0EC2">
            <w:pPr>
              <w:contextualSpacing/>
              <w:jc w:val="center"/>
              <w:rPr>
                <w:color w:val="000000"/>
                <w:sz w:val="20"/>
                <w:szCs w:val="20"/>
              </w:rPr>
            </w:pPr>
          </w:p>
        </w:tc>
      </w:tr>
      <w:tr w:rsidR="006A15D1" w:rsidRPr="00570C30" w:rsidTr="00C77205">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3140" w:type="pct"/>
            <w:gridSpan w:val="4"/>
            <w:vAlign w:val="center"/>
          </w:tcPr>
          <w:p w:rsidR="006A15D1" w:rsidRPr="00D511F2" w:rsidRDefault="006A15D1" w:rsidP="009379C8">
            <w:pPr>
              <w:pStyle w:val="afd"/>
              <w:numPr>
                <w:ilvl w:val="0"/>
                <w:numId w:val="32"/>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357" w:type="pct"/>
            <w:vMerge/>
            <w:vAlign w:val="center"/>
          </w:tcPr>
          <w:p w:rsidR="006A15D1" w:rsidRPr="00570C30" w:rsidRDefault="006A15D1" w:rsidP="00BE0EC2">
            <w:pPr>
              <w:jc w:val="center"/>
              <w:rPr>
                <w:color w:val="000000"/>
                <w:sz w:val="20"/>
                <w:szCs w:val="20"/>
              </w:rPr>
            </w:pPr>
          </w:p>
        </w:tc>
        <w:tc>
          <w:tcPr>
            <w:tcW w:w="578" w:type="pct"/>
            <w:vMerge/>
            <w:vAlign w:val="center"/>
          </w:tcPr>
          <w:p w:rsidR="006A15D1" w:rsidRPr="00570C30" w:rsidRDefault="006A15D1" w:rsidP="00BE0EC2">
            <w:pPr>
              <w:jc w:val="center"/>
              <w:rPr>
                <w:color w:val="000000"/>
                <w:sz w:val="20"/>
                <w:szCs w:val="20"/>
              </w:rPr>
            </w:pPr>
          </w:p>
        </w:tc>
      </w:tr>
      <w:tr w:rsidR="006A15D1" w:rsidRPr="00570C30" w:rsidTr="00D36D78">
        <w:trPr>
          <w:trHeight w:val="411"/>
        </w:trPr>
        <w:tc>
          <w:tcPr>
            <w:tcW w:w="199" w:type="pct"/>
            <w:vMerge/>
          </w:tcPr>
          <w:p w:rsidR="006A15D1" w:rsidRPr="00570C30" w:rsidRDefault="006A15D1" w:rsidP="00BE0EC2">
            <w:pPr>
              <w:rPr>
                <w:sz w:val="22"/>
                <w:szCs w:val="22"/>
              </w:rPr>
            </w:pPr>
          </w:p>
        </w:tc>
        <w:tc>
          <w:tcPr>
            <w:tcW w:w="726" w:type="pct"/>
            <w:vMerge/>
          </w:tcPr>
          <w:p w:rsidR="006A15D1" w:rsidRPr="00570C30" w:rsidRDefault="006A15D1" w:rsidP="00BE0EC2">
            <w:pPr>
              <w:rPr>
                <w:sz w:val="22"/>
                <w:szCs w:val="22"/>
              </w:rPr>
            </w:pPr>
          </w:p>
        </w:tc>
        <w:tc>
          <w:tcPr>
            <w:tcW w:w="265" w:type="pct"/>
            <w:vAlign w:val="center"/>
          </w:tcPr>
          <w:p w:rsidR="006A15D1" w:rsidRPr="00570C30" w:rsidRDefault="006A15D1" w:rsidP="00BE0EC2">
            <w:pPr>
              <w:jc w:val="center"/>
              <w:rPr>
                <w:color w:val="000000"/>
                <w:sz w:val="20"/>
                <w:szCs w:val="20"/>
              </w:rPr>
            </w:pPr>
            <w:r>
              <w:rPr>
                <w:color w:val="000000"/>
                <w:sz w:val="20"/>
                <w:szCs w:val="20"/>
              </w:rPr>
              <w:t>4.1</w:t>
            </w:r>
          </w:p>
        </w:tc>
        <w:tc>
          <w:tcPr>
            <w:tcW w:w="1267" w:type="pct"/>
            <w:gridSpan w:val="2"/>
            <w:shd w:val="clear" w:color="auto" w:fill="auto"/>
            <w:vAlign w:val="center"/>
            <w:hideMark/>
          </w:tcPr>
          <w:p w:rsidR="006A15D1" w:rsidRPr="00570C30" w:rsidRDefault="006A15D1" w:rsidP="00BE0EC2">
            <w:pPr>
              <w:rPr>
                <w:color w:val="000000"/>
                <w:sz w:val="20"/>
                <w:szCs w:val="20"/>
              </w:rPr>
            </w:pPr>
            <w:r>
              <w:rPr>
                <w:color w:val="000000"/>
                <w:sz w:val="20"/>
                <w:szCs w:val="20"/>
              </w:rPr>
              <w:t>Адрес доставки, ввода медицинского изделия  в эксплуатацию и проведение инструктажа</w:t>
            </w:r>
          </w:p>
        </w:tc>
        <w:tc>
          <w:tcPr>
            <w:tcW w:w="1608" w:type="pct"/>
            <w:shd w:val="clear" w:color="auto" w:fill="auto"/>
            <w:vAlign w:val="center"/>
            <w:hideMark/>
          </w:tcPr>
          <w:p w:rsidR="006A15D1" w:rsidRPr="00570C30" w:rsidRDefault="006A15D1" w:rsidP="00700944">
            <w:pPr>
              <w:contextualSpacing/>
              <w:jc w:val="center"/>
              <w:rPr>
                <w:color w:val="000000"/>
                <w:sz w:val="20"/>
                <w:szCs w:val="20"/>
              </w:rPr>
            </w:pPr>
            <w:r w:rsidRPr="00570C30">
              <w:rPr>
                <w:color w:val="000000"/>
                <w:sz w:val="20"/>
                <w:szCs w:val="20"/>
              </w:rPr>
              <w:t xml:space="preserve">г. Самара, ул. </w:t>
            </w:r>
            <w:r w:rsidR="001E1FDC">
              <w:rPr>
                <w:color w:val="000000"/>
                <w:sz w:val="20"/>
                <w:szCs w:val="20"/>
              </w:rPr>
              <w:t>Г.С.</w:t>
            </w:r>
            <w:r>
              <w:rPr>
                <w:color w:val="000000"/>
                <w:sz w:val="20"/>
                <w:szCs w:val="20"/>
              </w:rPr>
              <w:t>Аксакова, 13</w:t>
            </w:r>
            <w:r w:rsidRPr="00570C30">
              <w:rPr>
                <w:color w:val="000000"/>
                <w:sz w:val="20"/>
                <w:szCs w:val="20"/>
              </w:rPr>
              <w:t xml:space="preserve"> </w:t>
            </w:r>
          </w:p>
        </w:tc>
        <w:tc>
          <w:tcPr>
            <w:tcW w:w="357" w:type="pct"/>
            <w:vMerge/>
          </w:tcPr>
          <w:p w:rsidR="006A15D1" w:rsidRPr="00570C30" w:rsidRDefault="006A15D1" w:rsidP="00BE0EC2">
            <w:pPr>
              <w:jc w:val="center"/>
              <w:rPr>
                <w:color w:val="000000"/>
                <w:sz w:val="20"/>
                <w:szCs w:val="20"/>
              </w:rPr>
            </w:pPr>
          </w:p>
        </w:tc>
        <w:tc>
          <w:tcPr>
            <w:tcW w:w="578" w:type="pct"/>
            <w:vMerge/>
          </w:tcPr>
          <w:p w:rsidR="006A15D1" w:rsidRPr="00570C30" w:rsidRDefault="006A15D1" w:rsidP="00BE0EC2">
            <w:pPr>
              <w:jc w:val="center"/>
              <w:rPr>
                <w:color w:val="000000"/>
                <w:sz w:val="20"/>
                <w:szCs w:val="20"/>
              </w:rPr>
            </w:pPr>
          </w:p>
        </w:tc>
      </w:tr>
    </w:tbl>
    <w:p w:rsidR="00346E87" w:rsidRDefault="00346E87"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p w:rsidR="009379C8" w:rsidRDefault="009379C8" w:rsidP="00E16920">
      <w:pPr>
        <w:ind w:firstLine="708"/>
        <w:contextualSpacing/>
        <w:jc w:val="center"/>
        <w:rPr>
          <w:b/>
          <w:sz w:val="22"/>
          <w:szCs w:val="22"/>
        </w:rPr>
      </w:pPr>
    </w:p>
    <w:sectPr w:rsidR="009379C8" w:rsidSect="00A62015">
      <w:pgSz w:w="11906" w:h="16838"/>
      <w:pgMar w:top="539" w:right="851" w:bottom="993"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CE" w:rsidRDefault="00E914CE">
      <w:r>
        <w:separator/>
      </w:r>
    </w:p>
  </w:endnote>
  <w:endnote w:type="continuationSeparator" w:id="0">
    <w:p w:rsidR="00E914CE" w:rsidRDefault="00E9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6F54FA">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6F54FA">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167180">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CE" w:rsidRDefault="00E914CE">
      <w:r>
        <w:separator/>
      </w:r>
    </w:p>
  </w:footnote>
  <w:footnote w:type="continuationSeparator" w:id="0">
    <w:p w:rsidR="00E914CE" w:rsidRDefault="00E9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9"/>
  </w:num>
  <w:num w:numId="4">
    <w:abstractNumId w:val="10"/>
  </w:num>
  <w:num w:numId="5">
    <w:abstractNumId w:val="25"/>
  </w:num>
  <w:num w:numId="6">
    <w:abstractNumId w:val="14"/>
  </w:num>
  <w:num w:numId="7">
    <w:abstractNumId w:val="28"/>
  </w:num>
  <w:num w:numId="8">
    <w:abstractNumId w:val="21"/>
  </w:num>
  <w:num w:numId="9">
    <w:abstractNumId w:val="9"/>
  </w:num>
  <w:num w:numId="10">
    <w:abstractNumId w:val="1"/>
  </w:num>
  <w:num w:numId="11">
    <w:abstractNumId w:val="13"/>
  </w:num>
  <w:num w:numId="12">
    <w:abstractNumId w:val="27"/>
  </w:num>
  <w:num w:numId="13">
    <w:abstractNumId w:val="7"/>
  </w:num>
  <w:num w:numId="14">
    <w:abstractNumId w:val="17"/>
  </w:num>
  <w:num w:numId="15">
    <w:abstractNumId w:val="16"/>
  </w:num>
  <w:num w:numId="16">
    <w:abstractNumId w:val="19"/>
  </w:num>
  <w:num w:numId="17">
    <w:abstractNumId w:val="20"/>
  </w:num>
  <w:num w:numId="18">
    <w:abstractNumId w:val="0"/>
  </w:num>
  <w:num w:numId="19">
    <w:abstractNumId w:val="22"/>
  </w:num>
  <w:num w:numId="20">
    <w:abstractNumId w:val="2"/>
  </w:num>
  <w:num w:numId="21">
    <w:abstractNumId w:val="4"/>
  </w:num>
  <w:num w:numId="22">
    <w:abstractNumId w:val="12"/>
  </w:num>
  <w:num w:numId="23">
    <w:abstractNumId w:val="18"/>
  </w:num>
  <w:num w:numId="24">
    <w:abstractNumId w:val="15"/>
  </w:num>
  <w:num w:numId="25">
    <w:abstractNumId w:val="23"/>
  </w:num>
  <w:num w:numId="26">
    <w:abstractNumId w:val="11"/>
  </w:num>
  <w:num w:numId="27">
    <w:abstractNumId w:val="3"/>
  </w:num>
  <w:num w:numId="28">
    <w:abstractNumId w:val="26"/>
  </w:num>
  <w:num w:numId="29">
    <w:abstractNumId w:val="24"/>
  </w:num>
  <w:num w:numId="30">
    <w:abstractNumId w:val="30"/>
  </w:num>
  <w:num w:numId="31">
    <w:abstractNumId w:val="31"/>
  </w:num>
  <w:num w:numId="3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97634"/>
  </w:hdrShapeDefaults>
  <w:footnotePr>
    <w:footnote w:id="-1"/>
    <w:footnote w:id="0"/>
  </w:footnotePr>
  <w:endnotePr>
    <w:endnote w:id="-1"/>
    <w:endnote w:id="0"/>
  </w:endnotePr>
  <w:compat/>
  <w:rsids>
    <w:rsidRoot w:val="00052BB3"/>
    <w:rsid w:val="00001117"/>
    <w:rsid w:val="00002505"/>
    <w:rsid w:val="00004E1F"/>
    <w:rsid w:val="00012E2A"/>
    <w:rsid w:val="00034EF9"/>
    <w:rsid w:val="00035165"/>
    <w:rsid w:val="00036D4D"/>
    <w:rsid w:val="00045DC8"/>
    <w:rsid w:val="0004646E"/>
    <w:rsid w:val="00052BB3"/>
    <w:rsid w:val="000539B4"/>
    <w:rsid w:val="00056BBD"/>
    <w:rsid w:val="00066EA6"/>
    <w:rsid w:val="00070452"/>
    <w:rsid w:val="00072870"/>
    <w:rsid w:val="00075600"/>
    <w:rsid w:val="00075D85"/>
    <w:rsid w:val="000818BA"/>
    <w:rsid w:val="00085124"/>
    <w:rsid w:val="00086E9A"/>
    <w:rsid w:val="00093095"/>
    <w:rsid w:val="000A04AD"/>
    <w:rsid w:val="000A118E"/>
    <w:rsid w:val="000A195A"/>
    <w:rsid w:val="000A5F75"/>
    <w:rsid w:val="000B3176"/>
    <w:rsid w:val="000B4A78"/>
    <w:rsid w:val="000B6D83"/>
    <w:rsid w:val="000C0BDE"/>
    <w:rsid w:val="000C0DFE"/>
    <w:rsid w:val="000E5F51"/>
    <w:rsid w:val="000E71D8"/>
    <w:rsid w:val="000F0870"/>
    <w:rsid w:val="000F3680"/>
    <w:rsid w:val="000F600E"/>
    <w:rsid w:val="00102CF3"/>
    <w:rsid w:val="00106D15"/>
    <w:rsid w:val="0011130E"/>
    <w:rsid w:val="00112AEE"/>
    <w:rsid w:val="00113CD5"/>
    <w:rsid w:val="00120A65"/>
    <w:rsid w:val="00122AF9"/>
    <w:rsid w:val="00126C6D"/>
    <w:rsid w:val="001271AD"/>
    <w:rsid w:val="00127BCF"/>
    <w:rsid w:val="00131F08"/>
    <w:rsid w:val="0013274D"/>
    <w:rsid w:val="00136B90"/>
    <w:rsid w:val="001404EB"/>
    <w:rsid w:val="00141139"/>
    <w:rsid w:val="001441D6"/>
    <w:rsid w:val="00152047"/>
    <w:rsid w:val="00165737"/>
    <w:rsid w:val="00167180"/>
    <w:rsid w:val="00182233"/>
    <w:rsid w:val="001842CA"/>
    <w:rsid w:val="00185B30"/>
    <w:rsid w:val="001900EC"/>
    <w:rsid w:val="00191911"/>
    <w:rsid w:val="001963D4"/>
    <w:rsid w:val="001A306D"/>
    <w:rsid w:val="001A54D0"/>
    <w:rsid w:val="001A7B1C"/>
    <w:rsid w:val="001C2E5A"/>
    <w:rsid w:val="001C40E2"/>
    <w:rsid w:val="001D1692"/>
    <w:rsid w:val="001D42B7"/>
    <w:rsid w:val="001D4B82"/>
    <w:rsid w:val="001D5996"/>
    <w:rsid w:val="001D6CCB"/>
    <w:rsid w:val="001E1FDC"/>
    <w:rsid w:val="001E64F3"/>
    <w:rsid w:val="001F01BC"/>
    <w:rsid w:val="001F0742"/>
    <w:rsid w:val="001F43B0"/>
    <w:rsid w:val="001F480D"/>
    <w:rsid w:val="002046C2"/>
    <w:rsid w:val="002112E1"/>
    <w:rsid w:val="002169C9"/>
    <w:rsid w:val="00217B5C"/>
    <w:rsid w:val="00221A43"/>
    <w:rsid w:val="00224E5D"/>
    <w:rsid w:val="00225313"/>
    <w:rsid w:val="00227FF2"/>
    <w:rsid w:val="002313CF"/>
    <w:rsid w:val="002357D4"/>
    <w:rsid w:val="00236BB2"/>
    <w:rsid w:val="00240039"/>
    <w:rsid w:val="00240967"/>
    <w:rsid w:val="002476E9"/>
    <w:rsid w:val="0025109A"/>
    <w:rsid w:val="00254E72"/>
    <w:rsid w:val="00257C5B"/>
    <w:rsid w:val="0026209A"/>
    <w:rsid w:val="00263027"/>
    <w:rsid w:val="0027439F"/>
    <w:rsid w:val="00291A90"/>
    <w:rsid w:val="00292C42"/>
    <w:rsid w:val="002A177D"/>
    <w:rsid w:val="002A2DEB"/>
    <w:rsid w:val="002A4106"/>
    <w:rsid w:val="002B08C7"/>
    <w:rsid w:val="002B0D70"/>
    <w:rsid w:val="002B34BF"/>
    <w:rsid w:val="002B691E"/>
    <w:rsid w:val="002C3CDC"/>
    <w:rsid w:val="002C5AD9"/>
    <w:rsid w:val="002C7F5A"/>
    <w:rsid w:val="002D426E"/>
    <w:rsid w:val="002E75D1"/>
    <w:rsid w:val="002F3F7F"/>
    <w:rsid w:val="00301DC1"/>
    <w:rsid w:val="003039EB"/>
    <w:rsid w:val="00303C0F"/>
    <w:rsid w:val="0030500E"/>
    <w:rsid w:val="00313F45"/>
    <w:rsid w:val="00322F91"/>
    <w:rsid w:val="003230CB"/>
    <w:rsid w:val="00323236"/>
    <w:rsid w:val="00325457"/>
    <w:rsid w:val="003344BB"/>
    <w:rsid w:val="003356F6"/>
    <w:rsid w:val="003411F3"/>
    <w:rsid w:val="00342033"/>
    <w:rsid w:val="0034210A"/>
    <w:rsid w:val="0034261A"/>
    <w:rsid w:val="00346C0F"/>
    <w:rsid w:val="00346E87"/>
    <w:rsid w:val="003473E8"/>
    <w:rsid w:val="003509BC"/>
    <w:rsid w:val="00377BC8"/>
    <w:rsid w:val="00381530"/>
    <w:rsid w:val="00383883"/>
    <w:rsid w:val="00386B31"/>
    <w:rsid w:val="0038757F"/>
    <w:rsid w:val="003902E8"/>
    <w:rsid w:val="003942B6"/>
    <w:rsid w:val="003A268F"/>
    <w:rsid w:val="003A69DD"/>
    <w:rsid w:val="003A6EBD"/>
    <w:rsid w:val="003C2208"/>
    <w:rsid w:val="003E20E3"/>
    <w:rsid w:val="003F4D0A"/>
    <w:rsid w:val="003F682D"/>
    <w:rsid w:val="0040057D"/>
    <w:rsid w:val="00416F23"/>
    <w:rsid w:val="00423C7D"/>
    <w:rsid w:val="00425664"/>
    <w:rsid w:val="004347E4"/>
    <w:rsid w:val="0043678E"/>
    <w:rsid w:val="00437771"/>
    <w:rsid w:val="00440BFB"/>
    <w:rsid w:val="00441ECE"/>
    <w:rsid w:val="004456D9"/>
    <w:rsid w:val="0045028F"/>
    <w:rsid w:val="0045134C"/>
    <w:rsid w:val="0045250A"/>
    <w:rsid w:val="004528B2"/>
    <w:rsid w:val="004552EC"/>
    <w:rsid w:val="00462427"/>
    <w:rsid w:val="00462567"/>
    <w:rsid w:val="00464FDD"/>
    <w:rsid w:val="00465091"/>
    <w:rsid w:val="00482AD7"/>
    <w:rsid w:val="00486674"/>
    <w:rsid w:val="004901C8"/>
    <w:rsid w:val="0049246E"/>
    <w:rsid w:val="00493B31"/>
    <w:rsid w:val="00493D56"/>
    <w:rsid w:val="00496D94"/>
    <w:rsid w:val="00496EF0"/>
    <w:rsid w:val="004A0FB5"/>
    <w:rsid w:val="004A2782"/>
    <w:rsid w:val="004A36E4"/>
    <w:rsid w:val="004A576F"/>
    <w:rsid w:val="004A5F9F"/>
    <w:rsid w:val="004A7484"/>
    <w:rsid w:val="004B5A77"/>
    <w:rsid w:val="004B7CCE"/>
    <w:rsid w:val="004C2819"/>
    <w:rsid w:val="004D372E"/>
    <w:rsid w:val="004D6066"/>
    <w:rsid w:val="004D6411"/>
    <w:rsid w:val="004D7517"/>
    <w:rsid w:val="004E0A46"/>
    <w:rsid w:val="004E0ACB"/>
    <w:rsid w:val="004E21BC"/>
    <w:rsid w:val="004E3DFD"/>
    <w:rsid w:val="004E50D8"/>
    <w:rsid w:val="004F2631"/>
    <w:rsid w:val="004F480D"/>
    <w:rsid w:val="004F5D07"/>
    <w:rsid w:val="005030CB"/>
    <w:rsid w:val="005032AE"/>
    <w:rsid w:val="005032B5"/>
    <w:rsid w:val="00505BC0"/>
    <w:rsid w:val="00510B2D"/>
    <w:rsid w:val="00510BC3"/>
    <w:rsid w:val="005220E8"/>
    <w:rsid w:val="00533E71"/>
    <w:rsid w:val="00537B97"/>
    <w:rsid w:val="00537D07"/>
    <w:rsid w:val="00542CCD"/>
    <w:rsid w:val="00543034"/>
    <w:rsid w:val="00544356"/>
    <w:rsid w:val="00557029"/>
    <w:rsid w:val="00566578"/>
    <w:rsid w:val="00573567"/>
    <w:rsid w:val="00575973"/>
    <w:rsid w:val="005768E9"/>
    <w:rsid w:val="00577AAD"/>
    <w:rsid w:val="00592F9B"/>
    <w:rsid w:val="00594DF8"/>
    <w:rsid w:val="005A14E6"/>
    <w:rsid w:val="005B3B15"/>
    <w:rsid w:val="005B3C46"/>
    <w:rsid w:val="005B7B5C"/>
    <w:rsid w:val="005D4B2C"/>
    <w:rsid w:val="005E098C"/>
    <w:rsid w:val="005E12A3"/>
    <w:rsid w:val="005E148A"/>
    <w:rsid w:val="005F2B5E"/>
    <w:rsid w:val="005F2C8F"/>
    <w:rsid w:val="005F564F"/>
    <w:rsid w:val="005F58D7"/>
    <w:rsid w:val="005F5A25"/>
    <w:rsid w:val="005F7036"/>
    <w:rsid w:val="005F714E"/>
    <w:rsid w:val="005F736C"/>
    <w:rsid w:val="00607CC1"/>
    <w:rsid w:val="00607D9A"/>
    <w:rsid w:val="00620BCB"/>
    <w:rsid w:val="006215C3"/>
    <w:rsid w:val="0062259A"/>
    <w:rsid w:val="006279C3"/>
    <w:rsid w:val="00627B4E"/>
    <w:rsid w:val="006334A7"/>
    <w:rsid w:val="0063372D"/>
    <w:rsid w:val="00633FBD"/>
    <w:rsid w:val="00636352"/>
    <w:rsid w:val="006404CC"/>
    <w:rsid w:val="00642514"/>
    <w:rsid w:val="00643A3E"/>
    <w:rsid w:val="0064551A"/>
    <w:rsid w:val="006468C6"/>
    <w:rsid w:val="006539E3"/>
    <w:rsid w:val="00654B92"/>
    <w:rsid w:val="006567F2"/>
    <w:rsid w:val="00657A7C"/>
    <w:rsid w:val="00665B19"/>
    <w:rsid w:val="006738EA"/>
    <w:rsid w:val="00676EF3"/>
    <w:rsid w:val="00677EBB"/>
    <w:rsid w:val="006853F2"/>
    <w:rsid w:val="00687617"/>
    <w:rsid w:val="00690535"/>
    <w:rsid w:val="006A15D1"/>
    <w:rsid w:val="006A244E"/>
    <w:rsid w:val="006A432C"/>
    <w:rsid w:val="006A4FD1"/>
    <w:rsid w:val="006A6475"/>
    <w:rsid w:val="006B348A"/>
    <w:rsid w:val="006B7D02"/>
    <w:rsid w:val="006C06B8"/>
    <w:rsid w:val="006C110A"/>
    <w:rsid w:val="006C1B83"/>
    <w:rsid w:val="006C3B30"/>
    <w:rsid w:val="006C499D"/>
    <w:rsid w:val="006C5711"/>
    <w:rsid w:val="006C76EA"/>
    <w:rsid w:val="006D045D"/>
    <w:rsid w:val="006D3F52"/>
    <w:rsid w:val="006D740D"/>
    <w:rsid w:val="006F0D5C"/>
    <w:rsid w:val="006F54FA"/>
    <w:rsid w:val="006F700E"/>
    <w:rsid w:val="007002D2"/>
    <w:rsid w:val="00700944"/>
    <w:rsid w:val="0070432B"/>
    <w:rsid w:val="0070748D"/>
    <w:rsid w:val="007125A5"/>
    <w:rsid w:val="00713477"/>
    <w:rsid w:val="00716C10"/>
    <w:rsid w:val="00722F30"/>
    <w:rsid w:val="00724CB7"/>
    <w:rsid w:val="00733C6F"/>
    <w:rsid w:val="00737639"/>
    <w:rsid w:val="00741344"/>
    <w:rsid w:val="0075023C"/>
    <w:rsid w:val="00750D14"/>
    <w:rsid w:val="00753F35"/>
    <w:rsid w:val="007550C5"/>
    <w:rsid w:val="007564BC"/>
    <w:rsid w:val="007616B3"/>
    <w:rsid w:val="00762AE8"/>
    <w:rsid w:val="00764D77"/>
    <w:rsid w:val="007672C0"/>
    <w:rsid w:val="0077089B"/>
    <w:rsid w:val="007712AD"/>
    <w:rsid w:val="00773891"/>
    <w:rsid w:val="00776487"/>
    <w:rsid w:val="007838C5"/>
    <w:rsid w:val="00791C31"/>
    <w:rsid w:val="00793999"/>
    <w:rsid w:val="00797A6E"/>
    <w:rsid w:val="007B15F3"/>
    <w:rsid w:val="007B28CA"/>
    <w:rsid w:val="007B5A1B"/>
    <w:rsid w:val="007B7473"/>
    <w:rsid w:val="007C253A"/>
    <w:rsid w:val="007C4BF9"/>
    <w:rsid w:val="007C6EAF"/>
    <w:rsid w:val="007C7178"/>
    <w:rsid w:val="007D400D"/>
    <w:rsid w:val="007E1421"/>
    <w:rsid w:val="007E5CCE"/>
    <w:rsid w:val="007E762F"/>
    <w:rsid w:val="007E7C69"/>
    <w:rsid w:val="007F5DFD"/>
    <w:rsid w:val="007F67BF"/>
    <w:rsid w:val="0080090D"/>
    <w:rsid w:val="00801A57"/>
    <w:rsid w:val="0081488B"/>
    <w:rsid w:val="008203E0"/>
    <w:rsid w:val="008204D0"/>
    <w:rsid w:val="008220A4"/>
    <w:rsid w:val="00824D4C"/>
    <w:rsid w:val="00827E49"/>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E23"/>
    <w:rsid w:val="00890FBA"/>
    <w:rsid w:val="00892072"/>
    <w:rsid w:val="00896642"/>
    <w:rsid w:val="00896D3A"/>
    <w:rsid w:val="008A1398"/>
    <w:rsid w:val="008C4AC3"/>
    <w:rsid w:val="008C5711"/>
    <w:rsid w:val="008C6428"/>
    <w:rsid w:val="008D15F4"/>
    <w:rsid w:val="008D41B0"/>
    <w:rsid w:val="008D500B"/>
    <w:rsid w:val="008E04E7"/>
    <w:rsid w:val="008E7C24"/>
    <w:rsid w:val="008F7257"/>
    <w:rsid w:val="00905BF7"/>
    <w:rsid w:val="0090778B"/>
    <w:rsid w:val="009119FC"/>
    <w:rsid w:val="00911CF7"/>
    <w:rsid w:val="009125B0"/>
    <w:rsid w:val="009131AE"/>
    <w:rsid w:val="0091567A"/>
    <w:rsid w:val="009163D8"/>
    <w:rsid w:val="00927C65"/>
    <w:rsid w:val="009326E7"/>
    <w:rsid w:val="00934211"/>
    <w:rsid w:val="009379C8"/>
    <w:rsid w:val="00941911"/>
    <w:rsid w:val="009454AF"/>
    <w:rsid w:val="009551B8"/>
    <w:rsid w:val="009572F4"/>
    <w:rsid w:val="00960131"/>
    <w:rsid w:val="00961A4F"/>
    <w:rsid w:val="0096413A"/>
    <w:rsid w:val="00966435"/>
    <w:rsid w:val="009725CE"/>
    <w:rsid w:val="0097265A"/>
    <w:rsid w:val="00972F43"/>
    <w:rsid w:val="00977931"/>
    <w:rsid w:val="00983B19"/>
    <w:rsid w:val="00987FFD"/>
    <w:rsid w:val="009A0A9A"/>
    <w:rsid w:val="009A3BB4"/>
    <w:rsid w:val="009B2663"/>
    <w:rsid w:val="009B2D60"/>
    <w:rsid w:val="009B2F53"/>
    <w:rsid w:val="009B4524"/>
    <w:rsid w:val="009B64AE"/>
    <w:rsid w:val="009B67B4"/>
    <w:rsid w:val="009C12A2"/>
    <w:rsid w:val="009C13E0"/>
    <w:rsid w:val="009D552E"/>
    <w:rsid w:val="009E1859"/>
    <w:rsid w:val="009E2628"/>
    <w:rsid w:val="009E3093"/>
    <w:rsid w:val="009E4A83"/>
    <w:rsid w:val="009E5C2F"/>
    <w:rsid w:val="009F0241"/>
    <w:rsid w:val="009F07E4"/>
    <w:rsid w:val="009F0AE7"/>
    <w:rsid w:val="009F50E2"/>
    <w:rsid w:val="009F5637"/>
    <w:rsid w:val="009F6486"/>
    <w:rsid w:val="00A01AE7"/>
    <w:rsid w:val="00A039BB"/>
    <w:rsid w:val="00A03C16"/>
    <w:rsid w:val="00A052AB"/>
    <w:rsid w:val="00A06B01"/>
    <w:rsid w:val="00A1256A"/>
    <w:rsid w:val="00A130A2"/>
    <w:rsid w:val="00A2283B"/>
    <w:rsid w:val="00A26313"/>
    <w:rsid w:val="00A3091F"/>
    <w:rsid w:val="00A37FA6"/>
    <w:rsid w:val="00A4125B"/>
    <w:rsid w:val="00A41D86"/>
    <w:rsid w:val="00A4241E"/>
    <w:rsid w:val="00A426E5"/>
    <w:rsid w:val="00A43A05"/>
    <w:rsid w:val="00A45B7E"/>
    <w:rsid w:val="00A522F6"/>
    <w:rsid w:val="00A54CA2"/>
    <w:rsid w:val="00A564C2"/>
    <w:rsid w:val="00A573D0"/>
    <w:rsid w:val="00A62015"/>
    <w:rsid w:val="00A6497D"/>
    <w:rsid w:val="00A64F0C"/>
    <w:rsid w:val="00A65252"/>
    <w:rsid w:val="00A6626B"/>
    <w:rsid w:val="00A71045"/>
    <w:rsid w:val="00A71603"/>
    <w:rsid w:val="00A72DA1"/>
    <w:rsid w:val="00A75E10"/>
    <w:rsid w:val="00A81D12"/>
    <w:rsid w:val="00A82465"/>
    <w:rsid w:val="00A824B7"/>
    <w:rsid w:val="00A82D72"/>
    <w:rsid w:val="00A85824"/>
    <w:rsid w:val="00A9037D"/>
    <w:rsid w:val="00A91E1E"/>
    <w:rsid w:val="00A92747"/>
    <w:rsid w:val="00A9307F"/>
    <w:rsid w:val="00A94413"/>
    <w:rsid w:val="00A94A36"/>
    <w:rsid w:val="00AA5983"/>
    <w:rsid w:val="00AB28BD"/>
    <w:rsid w:val="00AC2CCA"/>
    <w:rsid w:val="00AC5885"/>
    <w:rsid w:val="00AC5C01"/>
    <w:rsid w:val="00AD2D7F"/>
    <w:rsid w:val="00AD37D1"/>
    <w:rsid w:val="00AD5BA2"/>
    <w:rsid w:val="00AD6830"/>
    <w:rsid w:val="00AE092F"/>
    <w:rsid w:val="00AE2FE2"/>
    <w:rsid w:val="00AE4E9A"/>
    <w:rsid w:val="00AF46E1"/>
    <w:rsid w:val="00AF5AF4"/>
    <w:rsid w:val="00B00213"/>
    <w:rsid w:val="00B06895"/>
    <w:rsid w:val="00B069A4"/>
    <w:rsid w:val="00B077C7"/>
    <w:rsid w:val="00B12531"/>
    <w:rsid w:val="00B2020B"/>
    <w:rsid w:val="00B24006"/>
    <w:rsid w:val="00B248CF"/>
    <w:rsid w:val="00B25FE3"/>
    <w:rsid w:val="00B30957"/>
    <w:rsid w:val="00B330B3"/>
    <w:rsid w:val="00B45D73"/>
    <w:rsid w:val="00B4680B"/>
    <w:rsid w:val="00B472EA"/>
    <w:rsid w:val="00B51276"/>
    <w:rsid w:val="00B56216"/>
    <w:rsid w:val="00B70E89"/>
    <w:rsid w:val="00B752A7"/>
    <w:rsid w:val="00B80E9A"/>
    <w:rsid w:val="00B829C2"/>
    <w:rsid w:val="00B83699"/>
    <w:rsid w:val="00B83F17"/>
    <w:rsid w:val="00B9252B"/>
    <w:rsid w:val="00B95C40"/>
    <w:rsid w:val="00B96949"/>
    <w:rsid w:val="00B96DFD"/>
    <w:rsid w:val="00BA0DD3"/>
    <w:rsid w:val="00BA42B3"/>
    <w:rsid w:val="00BA550A"/>
    <w:rsid w:val="00BA58C9"/>
    <w:rsid w:val="00BA58DB"/>
    <w:rsid w:val="00BA6C61"/>
    <w:rsid w:val="00BB13C2"/>
    <w:rsid w:val="00BB258F"/>
    <w:rsid w:val="00BB7675"/>
    <w:rsid w:val="00BC2F43"/>
    <w:rsid w:val="00BC411F"/>
    <w:rsid w:val="00BC5065"/>
    <w:rsid w:val="00BE12FC"/>
    <w:rsid w:val="00BE4360"/>
    <w:rsid w:val="00BE5298"/>
    <w:rsid w:val="00BE6B60"/>
    <w:rsid w:val="00BF0708"/>
    <w:rsid w:val="00BF344D"/>
    <w:rsid w:val="00BF5416"/>
    <w:rsid w:val="00C02CFB"/>
    <w:rsid w:val="00C0520C"/>
    <w:rsid w:val="00C0707A"/>
    <w:rsid w:val="00C07BE0"/>
    <w:rsid w:val="00C1059C"/>
    <w:rsid w:val="00C11DF9"/>
    <w:rsid w:val="00C13A14"/>
    <w:rsid w:val="00C222D1"/>
    <w:rsid w:val="00C23A10"/>
    <w:rsid w:val="00C2587E"/>
    <w:rsid w:val="00C25D39"/>
    <w:rsid w:val="00C26F39"/>
    <w:rsid w:val="00C327BB"/>
    <w:rsid w:val="00C32EF6"/>
    <w:rsid w:val="00C374B4"/>
    <w:rsid w:val="00C401C3"/>
    <w:rsid w:val="00C41867"/>
    <w:rsid w:val="00C41C9D"/>
    <w:rsid w:val="00C421DD"/>
    <w:rsid w:val="00C42F78"/>
    <w:rsid w:val="00C45FF3"/>
    <w:rsid w:val="00C522CD"/>
    <w:rsid w:val="00C5268C"/>
    <w:rsid w:val="00C54FF0"/>
    <w:rsid w:val="00C55A9E"/>
    <w:rsid w:val="00C60BEC"/>
    <w:rsid w:val="00C67F00"/>
    <w:rsid w:val="00C7385B"/>
    <w:rsid w:val="00C746EB"/>
    <w:rsid w:val="00C77648"/>
    <w:rsid w:val="00C81476"/>
    <w:rsid w:val="00C96D04"/>
    <w:rsid w:val="00CA2EAC"/>
    <w:rsid w:val="00CA443A"/>
    <w:rsid w:val="00CA60E6"/>
    <w:rsid w:val="00CA7D57"/>
    <w:rsid w:val="00CB5A13"/>
    <w:rsid w:val="00CB756D"/>
    <w:rsid w:val="00CC1536"/>
    <w:rsid w:val="00CC236A"/>
    <w:rsid w:val="00CC584F"/>
    <w:rsid w:val="00CC6E81"/>
    <w:rsid w:val="00CD06EF"/>
    <w:rsid w:val="00CD0E6E"/>
    <w:rsid w:val="00CE3077"/>
    <w:rsid w:val="00CE4007"/>
    <w:rsid w:val="00CE4BE2"/>
    <w:rsid w:val="00CE767B"/>
    <w:rsid w:val="00CF1274"/>
    <w:rsid w:val="00D10B37"/>
    <w:rsid w:val="00D1142D"/>
    <w:rsid w:val="00D11468"/>
    <w:rsid w:val="00D13FCC"/>
    <w:rsid w:val="00D145CC"/>
    <w:rsid w:val="00D14CA1"/>
    <w:rsid w:val="00D202EA"/>
    <w:rsid w:val="00D20444"/>
    <w:rsid w:val="00D227A7"/>
    <w:rsid w:val="00D23331"/>
    <w:rsid w:val="00D30C45"/>
    <w:rsid w:val="00D32D66"/>
    <w:rsid w:val="00D34B2F"/>
    <w:rsid w:val="00D34CEC"/>
    <w:rsid w:val="00D356A8"/>
    <w:rsid w:val="00D36D78"/>
    <w:rsid w:val="00D37426"/>
    <w:rsid w:val="00D41E90"/>
    <w:rsid w:val="00D4446D"/>
    <w:rsid w:val="00D44A6F"/>
    <w:rsid w:val="00D530C2"/>
    <w:rsid w:val="00D54C8F"/>
    <w:rsid w:val="00D561C9"/>
    <w:rsid w:val="00D60E00"/>
    <w:rsid w:val="00D6279D"/>
    <w:rsid w:val="00D713DD"/>
    <w:rsid w:val="00D732F7"/>
    <w:rsid w:val="00D74B72"/>
    <w:rsid w:val="00D7628E"/>
    <w:rsid w:val="00D86216"/>
    <w:rsid w:val="00D913E5"/>
    <w:rsid w:val="00D93321"/>
    <w:rsid w:val="00DA53DE"/>
    <w:rsid w:val="00DB5D20"/>
    <w:rsid w:val="00DC17FF"/>
    <w:rsid w:val="00DC1A70"/>
    <w:rsid w:val="00DD2590"/>
    <w:rsid w:val="00DD31EC"/>
    <w:rsid w:val="00DE0514"/>
    <w:rsid w:val="00DE3568"/>
    <w:rsid w:val="00DE5CD6"/>
    <w:rsid w:val="00DE75B3"/>
    <w:rsid w:val="00DF3CCB"/>
    <w:rsid w:val="00DF5EB1"/>
    <w:rsid w:val="00DF6E47"/>
    <w:rsid w:val="00E04F67"/>
    <w:rsid w:val="00E06902"/>
    <w:rsid w:val="00E07158"/>
    <w:rsid w:val="00E13B04"/>
    <w:rsid w:val="00E16920"/>
    <w:rsid w:val="00E238AA"/>
    <w:rsid w:val="00E24EC7"/>
    <w:rsid w:val="00E25439"/>
    <w:rsid w:val="00E270E5"/>
    <w:rsid w:val="00E32C12"/>
    <w:rsid w:val="00E41811"/>
    <w:rsid w:val="00E42C37"/>
    <w:rsid w:val="00E47C13"/>
    <w:rsid w:val="00E505BD"/>
    <w:rsid w:val="00E53932"/>
    <w:rsid w:val="00E641B2"/>
    <w:rsid w:val="00E66110"/>
    <w:rsid w:val="00E721A6"/>
    <w:rsid w:val="00E73AB9"/>
    <w:rsid w:val="00E73BD4"/>
    <w:rsid w:val="00E77CF6"/>
    <w:rsid w:val="00E82D30"/>
    <w:rsid w:val="00E857FC"/>
    <w:rsid w:val="00E914CE"/>
    <w:rsid w:val="00E92C65"/>
    <w:rsid w:val="00EA2FE4"/>
    <w:rsid w:val="00EB2B47"/>
    <w:rsid w:val="00EB42BD"/>
    <w:rsid w:val="00EB52BC"/>
    <w:rsid w:val="00EC53CD"/>
    <w:rsid w:val="00EC5422"/>
    <w:rsid w:val="00EC61BE"/>
    <w:rsid w:val="00ED7AB9"/>
    <w:rsid w:val="00EE27A0"/>
    <w:rsid w:val="00EE482F"/>
    <w:rsid w:val="00EE5154"/>
    <w:rsid w:val="00EE5408"/>
    <w:rsid w:val="00EF40C1"/>
    <w:rsid w:val="00F02D1C"/>
    <w:rsid w:val="00F04B1E"/>
    <w:rsid w:val="00F11B09"/>
    <w:rsid w:val="00F1306D"/>
    <w:rsid w:val="00F13A56"/>
    <w:rsid w:val="00F162A7"/>
    <w:rsid w:val="00F233B8"/>
    <w:rsid w:val="00F271F6"/>
    <w:rsid w:val="00F2766D"/>
    <w:rsid w:val="00F31642"/>
    <w:rsid w:val="00F32512"/>
    <w:rsid w:val="00F35386"/>
    <w:rsid w:val="00F365AC"/>
    <w:rsid w:val="00F3679A"/>
    <w:rsid w:val="00F4748B"/>
    <w:rsid w:val="00F53C94"/>
    <w:rsid w:val="00F56890"/>
    <w:rsid w:val="00F65B98"/>
    <w:rsid w:val="00F71249"/>
    <w:rsid w:val="00F77446"/>
    <w:rsid w:val="00F877F0"/>
    <w:rsid w:val="00F9332C"/>
    <w:rsid w:val="00F963CB"/>
    <w:rsid w:val="00FA2C7E"/>
    <w:rsid w:val="00FA66C4"/>
    <w:rsid w:val="00FB320C"/>
    <w:rsid w:val="00FB65DA"/>
    <w:rsid w:val="00FB6BA4"/>
    <w:rsid w:val="00FB7A48"/>
    <w:rsid w:val="00FC3739"/>
    <w:rsid w:val="00FC737B"/>
    <w:rsid w:val="00FD25A3"/>
    <w:rsid w:val="00FE2203"/>
    <w:rsid w:val="00FE3F51"/>
    <w:rsid w:val="00FE584A"/>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AD37D1"/>
    <w:rPr>
      <w:b/>
      <w:bCs/>
      <w:sz w:val="24"/>
    </w:rPr>
  </w:style>
  <w:style w:type="paragraph" w:customStyle="1" w:styleId="ConsPlusNormal">
    <w:name w:val="ConsPlusNormal"/>
    <w:link w:val="ConsPlusNormal0"/>
    <w:qFormat/>
    <w:rsid w:val="00AD37D1"/>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D37D1"/>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8A35-4934-4A22-8AFE-1105228C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2018-08-16T06:31:00Z</cp:lastPrinted>
  <dcterms:created xsi:type="dcterms:W3CDTF">2021-04-14T07:08:00Z</dcterms:created>
  <dcterms:modified xsi:type="dcterms:W3CDTF">2021-04-14T09:27:00Z</dcterms:modified>
</cp:coreProperties>
</file>